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7.png" ContentType="image/png"/>
  <Override PartName="/word/media/rId29.png" ContentType="image/png"/>
  <Override PartName="/word/media/rId41.png" ContentType="image/png"/>
  <Override PartName="/word/media/rId42.png" ContentType="image/png"/>
  <Override PartName="/word/media/rId39.png" ContentType="image/png"/>
  <Override PartName="/word/media/rId34.png" ContentType="image/png"/>
  <Override PartName="/word/media/rId3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Joint effects of climate, tree size, and year on annual tree growth derived using tree-ring records from ten globally distributed forests</w:t>
      </w:r>
    </w:p>
    <w:p>
      <w:pPr>
        <w:pStyle w:val="BodyText"/>
      </w:pPr>
      <w:r>
        <w:rPr>
          <w:bCs/>
          <w:b/>
        </w:rPr>
        <w:t xml:space="preserve">Authors:</w:t>
      </w:r>
    </w:p>
    <w:p>
      <w:pPr>
        <w:pStyle w:val="BodyText"/>
      </w:pPr>
      <w:hyperlink r:id="rId20">
        <w:r>
          <w:rPr>
            <w:rStyle w:val="Hyperlink"/>
          </w:rPr>
          <w:t xml:space="preserve">Kristina J. Anderson-Teixeira</w:t>
        </w:r>
      </w:hyperlink>
      <w:r>
        <w:rPr>
          <w:vertAlign w:val="superscript"/>
        </w:rPr>
        <w:t xml:space="preserve">1,2</w:t>
      </w:r>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hyperlink r:id="rId21">
        <w:r>
          <w:rPr>
            <w:rStyle w:val="Hyperlink"/>
          </w:rPr>
          <w:t xml:space="preserve">Joseph D. Birch</w:t>
        </w:r>
      </w:hyperlink>
      <w:r>
        <w:rPr>
          <w:vertAlign w:val="superscript"/>
        </w:rPr>
        <w:t xml:space="preserve">10</w:t>
      </w:r>
      <w:r>
        <w:t xml:space="preserve">,</w:t>
      </w:r>
      <w:r>
        <w:t xml:space="preserve"> </w:t>
      </w:r>
      <w:r>
        <w:t xml:space="preserve">Sarayudh Bunyavejchewin</w:t>
      </w:r>
      <w:r>
        <w:rPr>
          <w:vertAlign w:val="superscript"/>
        </w:rPr>
        <w:t xml:space="preserve">11</w:t>
      </w:r>
      <w:r>
        <w:t xml:space="preserve">,</w:t>
      </w:r>
      <w:r>
        <w:t xml:space="preserve"> </w:t>
      </w:r>
      <w:r>
        <w:t xml:space="preserve">Paolo Cherubini</w:t>
      </w:r>
      <w:r>
        <w:rPr>
          <w:vertAlign w:val="superscript"/>
        </w:rPr>
        <w:t xml:space="preserve">12,13</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1,14</w:t>
      </w:r>
      <w:r>
        <w:t xml:space="preserve">,</w:t>
      </w:r>
      <w:r>
        <w:t xml:space="preserve"> </w:t>
      </w:r>
      <w:r>
        <w:t xml:space="preserve">Ryan Helcoski</w:t>
      </w:r>
      <w:r>
        <w:rPr>
          <w:vertAlign w:val="superscript"/>
        </w:rPr>
        <w:t xml:space="preserve">1</w:t>
      </w:r>
      <w:r>
        <w:t xml:space="preserve">,</w:t>
      </w:r>
      <w:r>
        <w:t xml:space="preserve"> </w:t>
      </w:r>
      <w:hyperlink r:id="rId22">
        <w:r>
          <w:rPr>
            <w:rStyle w:val="Hyperlink"/>
          </w:rPr>
          <w:t xml:space="preserve">Jakub Kašpar</w:t>
        </w:r>
      </w:hyperlink>
      <w:r>
        <w:rPr>
          <w:vertAlign w:val="superscript"/>
        </w:rPr>
        <w:t xml:space="preserve">15</w:t>
      </w:r>
      <w:r>
        <w:t xml:space="preserve">,</w:t>
      </w:r>
      <w:r>
        <w:t xml:space="preserve"> </w:t>
      </w:r>
      <w:hyperlink r:id="rId23">
        <w:r>
          <w:rPr>
            <w:rStyle w:val="Hyperlink"/>
          </w:rPr>
          <w:t xml:space="preserve">James Lutz</w:t>
        </w:r>
      </w:hyperlink>
      <w:r>
        <w:rPr>
          <w:vertAlign w:val="superscript"/>
        </w:rPr>
        <w:t xml:space="preserve">16</w:t>
      </w:r>
      <w:r>
        <w:t xml:space="preserve">,</w:t>
      </w:r>
      <w:r>
        <w:t xml:space="preserve"> </w:t>
      </w:r>
      <w:r>
        <w:t xml:space="preserve">Ellis Q. Margolis</w:t>
      </w:r>
      <w:r>
        <w:rPr>
          <w:vertAlign w:val="superscript"/>
        </w:rPr>
        <w:t xml:space="preserve">17</w:t>
      </w:r>
      <w:r>
        <w:t xml:space="preserve">,</w:t>
      </w:r>
      <w:r>
        <w:t xml:space="preserve"> </w:t>
      </w:r>
      <w:r>
        <w:t xml:space="preserve">Justin Maxwell</w:t>
      </w:r>
      <w:r>
        <w:rPr>
          <w:vertAlign w:val="superscript"/>
        </w:rPr>
        <w:t xml:space="preserve">18</w:t>
      </w:r>
      <w:r>
        <w:t xml:space="preserve">,</w:t>
      </w:r>
      <w:r>
        <w:t xml:space="preserve"> </w:t>
      </w:r>
      <w:r>
        <w:t xml:space="preserve">Sean McMahon</w:t>
      </w:r>
      <w:r>
        <w:rPr>
          <w:vertAlign w:val="superscript"/>
        </w:rPr>
        <w:t xml:space="preserve">2,19</w:t>
      </w:r>
      <w:r>
        <w:t xml:space="preserve">,</w:t>
      </w:r>
      <w:r>
        <w:t xml:space="preserve"> </w:t>
      </w:r>
      <w:r>
        <w:t xml:space="preserve">Camille Piponiot</w:t>
      </w:r>
      <w:r>
        <w:rPr>
          <w:vertAlign w:val="superscript"/>
        </w:rPr>
        <w:t xml:space="preserve">1,2,20</w:t>
      </w:r>
      <w:r>
        <w:t xml:space="preserve">,</w:t>
      </w:r>
      <w:r>
        <w:t xml:space="preserve"> </w:t>
      </w:r>
      <w:r>
        <w:t xml:space="preserve">Sabrina E. Russo</w:t>
      </w:r>
      <w:r>
        <w:rPr>
          <w:vertAlign w:val="superscript"/>
        </w:rPr>
        <w:t xml:space="preserve">8,21</w:t>
      </w:r>
      <w:r>
        <w:t xml:space="preserve">,</w:t>
      </w:r>
      <w:r>
        <w:t xml:space="preserve"> </w:t>
      </w:r>
      <w:hyperlink r:id="rId24">
        <w:r>
          <w:rPr>
            <w:rStyle w:val="Hyperlink"/>
          </w:rPr>
          <w:t xml:space="preserve">Pavel Šamonil</w:t>
        </w:r>
      </w:hyperlink>
      <w:r>
        <w:rPr>
          <w:vertAlign w:val="superscript"/>
        </w:rPr>
        <w:t xml:space="preserve">15</w:t>
      </w:r>
      <w:r>
        <w:t xml:space="preserve">,</w:t>
      </w:r>
      <w:r>
        <w:t xml:space="preserve"> </w:t>
      </w:r>
      <w:r>
        <w:t xml:space="preserve">Anastasia E. Sniderhan</w:t>
      </w:r>
      <w:r>
        <w:rPr>
          <w:vertAlign w:val="superscript"/>
        </w:rPr>
        <w:t xml:space="preserve">7</w:t>
      </w:r>
      <w:r>
        <w:t xml:space="preserve">,</w:t>
      </w:r>
      <w:r>
        <w:t xml:space="preserve"> </w:t>
      </w:r>
      <w:hyperlink r:id="rId25">
        <w:r>
          <w:rPr>
            <w:rStyle w:val="Hyperlink"/>
          </w:rPr>
          <w:t xml:space="preserve">Alan J. Tepley</w:t>
        </w:r>
      </w:hyperlink>
      <w:r>
        <w:rPr>
          <w:vertAlign w:val="superscript"/>
        </w:rPr>
        <w:t xml:space="preserve">1,22</w:t>
      </w:r>
      <w:r>
        <w:t xml:space="preserve">,</w:t>
      </w:r>
      <w:r>
        <w:t xml:space="preserve"> </w:t>
      </w:r>
      <w:hyperlink r:id="rId26">
        <w:r>
          <w:rPr>
            <w:rStyle w:val="Hyperlink"/>
          </w:rPr>
          <w:t xml:space="preserve">Ivana Vašíčková</w:t>
        </w:r>
      </w:hyperlink>
      <w:r>
        <w:rPr>
          <w:vertAlign w:val="superscript"/>
        </w:rPr>
        <w:t xml:space="preserve">15</w:t>
      </w:r>
      <w:r>
        <w:t xml:space="preserve">,</w:t>
      </w:r>
      <w:r>
        <w:t xml:space="preserve"> </w:t>
      </w:r>
      <w:r>
        <w:t xml:space="preserve">Mart Vlam</w:t>
      </w:r>
      <w:r>
        <w:rPr>
          <w:vertAlign w:val="superscript"/>
        </w:rPr>
        <w:t xml:space="preserve">23</w:t>
      </w:r>
      <w:r>
        <w:t xml:space="preserve">,</w:t>
      </w:r>
      <w:r>
        <w:t xml:space="preserve"> </w:t>
      </w:r>
      <w:r>
        <w:t xml:space="preserve">Pieter A. Zuidema</w:t>
      </w:r>
      <w:r>
        <w:rPr>
          <w:vertAlign w:val="superscript"/>
        </w:rPr>
        <w:t xml:space="preserve">23</w:t>
      </w:r>
    </w:p>
    <w:p>
      <w:pPr>
        <w:pStyle w:val="BodyText"/>
      </w:pPr>
      <w:r>
        <w:rPr>
          <w:bCs/>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Department of Geography &amp; Environmental Studies, University of New Mexico; Albuquerque, NM 87131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68588-0118, USA</w:t>
      </w:r>
    </w:p>
    <w:p>
      <w:pPr>
        <w:numPr>
          <w:ilvl w:val="0"/>
          <w:numId w:val="1001"/>
        </w:numPr>
      </w:pPr>
      <w:r>
        <w:t xml:space="preserve">School of Ecosystem and Forest Sciences, University of Melbourne, Richmond VIC 3121, Australia</w:t>
      </w:r>
    </w:p>
    <w:p>
      <w:pPr>
        <w:numPr>
          <w:ilvl w:val="0"/>
          <w:numId w:val="1001"/>
        </w:numPr>
      </w:pPr>
      <w:r>
        <w:t xml:space="preserve">University of Alberta; Edmonton, Alberta, Canada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Faculty of Forestry, University of British Columbia, Vancouver BC,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U.S. Geological Survey, Fort Collins Science Center, New Mexico Landscapes Field Station, Los Alamos, NM 87544,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Center for Plant Science Innovation, University of Nebraska – Lincoln, USA 68588-0660</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7">
        <w:r>
          <w:rPr>
            <w:rStyle w:val="Hyperlink"/>
          </w:rPr>
          <w:t xml:space="preserve">teixeirak@si.edu</w:t>
        </w:r>
      </w:hyperlink>
      <w:r>
        <w:t xml:space="preserve">; +1 540 635 6546</w:t>
      </w:r>
    </w:p>
    <w:p>
      <w:pPr>
        <w:pStyle w:val="BodyText"/>
      </w:pPr>
      <w:r>
        <w:rPr>
          <w:bCs/>
          <w:b/>
        </w:rPr>
        <w:t xml:space="preserve">Running headline:</w:t>
      </w:r>
      <w:r>
        <w:t xml:space="preserve"> </w:t>
      </w:r>
      <w:r>
        <w:t xml:space="preserve">[45 chars]</w:t>
      </w:r>
    </w:p>
    <w:p>
      <w:pPr>
        <w:pStyle w:val="BodyText"/>
      </w:pPr>
      <w:r>
        <w:rPr>
          <w:iCs/>
          <w:i/>
        </w:rPr>
        <w:t xml:space="preserve">This draft manuscript is distributed solely for purposes of scientific peer review. Its content is deliberative and pre-decisional, so it must not be disclosed or released by reviewers. Because the manuscript has not yet been approved for publication by the USGS, it does not represent any official USGS finding or policy.</w:t>
      </w:r>
    </w:p>
    <w:p>
      <w:r>
        <w:br w:type="page"/>
      </w:r>
    </w:p>
    <w:bookmarkStart w:id="28"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conventional tree-ring analysis approaches cannot simultaneously account for the effects of climate, tree size, and time on individual tree growth, which has limited the potential to use tree rings to understand forest productivity, its climate sensitivity, and its global change responses.</w:t>
      </w:r>
      <w:r>
        <w:t xml:space="preserve"> </w:t>
      </w:r>
      <w:r>
        <w:t xml:space="preserve">Here, we develop and apply a new method to simultaneously model non-linear effects of objectively determined primary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analyze tree-ring data from 3811 trees representing 40 species at ten globally distributed sites, showing that water, temperature,</w:t>
      </w:r>
      <w:r>
        <w:t xml:space="preserve"> </w:t>
      </w:r>
      <m:oMath>
        <m:r>
          <m:t>D</m:t>
        </m:r>
        <m:r>
          <m:t>B</m:t>
        </m:r>
        <m:r>
          <m:t>H</m:t>
        </m:r>
      </m:oMath>
      <w:r>
        <w:t xml:space="preserve">, and time have additively, and often interactively, influenced annual growth over the past 120 years.</w:t>
      </w:r>
      <w:r>
        <w:t xml:space="preserve"> </w:t>
      </w:r>
      <w:r>
        <w:t xml:space="preserve">Growth responses were predominantly positive to precipitation and negative to temperature, with both included in 78% of top models, and with non-linear responses prevalent (</w:t>
      </w:r>
      <w:r>
        <w:rPr>
          <w:iCs/>
          <w:i/>
        </w:rPr>
        <w:t xml:space="preserve">##%</w:t>
      </w:r>
      <w:r>
        <w:t xml:space="preserve"> </w:t>
      </w:r>
      <w:r>
        <w:t xml:space="preserve">of relationships).</w:t>
      </w:r>
      <w:r>
        <w:t xml:space="preserve"> </w:t>
      </w:r>
      <w:r>
        <w:t xml:space="preserve">Interactions between</w:t>
      </w:r>
      <w:r>
        <w:t xml:space="preserve"> </w:t>
      </w:r>
      <m:oMath>
        <m:r>
          <m:t>D</m:t>
        </m:r>
        <m:r>
          <m:t>B</m:t>
        </m:r>
        <m:r>
          <m:t>H</m:t>
        </m:r>
      </m:oMath>
      <w:r>
        <w:t xml:space="preserve"> </w:t>
      </w:r>
      <w:r>
        <w:t xml:space="preserve">and climate were common (44% of cases tested).</w:t>
      </w:r>
      <w:r>
        <w:t xml:space="preserve"> </w:t>
      </w:r>
      <w:r>
        <w:t xml:space="preserve">Growth rates – expressed as ring widths, basal area increments, or biomass increments – varied non-linearly with</w:t>
      </w:r>
      <w:r>
        <w:t xml:space="preserve"> </w:t>
      </w:r>
      <m:oMath>
        <m:r>
          <m:t>D</m:t>
        </m:r>
        <m:r>
          <m:t>B</m:t>
        </m:r>
        <m:r>
          <m:t>H</m:t>
        </m:r>
      </m:oMath>
      <w:r>
        <w:t xml:space="preserve">.</w:t>
      </w:r>
      <w:r>
        <w:t xml:space="preserve"> </w:t>
      </w:r>
      <w:r>
        <w:t xml:space="preserve">Accounting for</w:t>
      </w:r>
      <w:r>
        <w:t xml:space="preserve"> </w:t>
      </w:r>
      <m:oMath>
        <m:r>
          <m:t>D</m:t>
        </m:r>
        <m:r>
          <m:t>B</m:t>
        </m:r>
        <m:r>
          <m:t>H</m:t>
        </m:r>
      </m:oMath>
      <w:r>
        <w:t xml:space="preserve">, growth rate varied directionally over time in most species, declining in 90%.</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primary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Cs/>
          <w:b/>
        </w:rPr>
        <w:t xml:space="preserve">Keywords</w:t>
      </w:r>
      <w:r>
        <w:t xml:space="preserve">: climate sensitivity; diameter; environmental change; Forest Global Earth Observatory (ForestGEO); generalized least squares (GLS); nonlinear; tree-ring</w:t>
      </w:r>
    </w:p>
    <w:p>
      <w:r>
        <w:br w:type="page"/>
      </w:r>
    </w:p>
    <w:bookmarkEnd w:id="28"/>
    <w:bookmarkStart w:id="30" w:name="Introduction"/>
    <w:p>
      <w:pPr>
        <w:pStyle w:val="Heading1"/>
      </w:pPr>
      <w:r>
        <w:t xml:space="preserve">Introduction</w:t>
      </w:r>
    </w:p>
    <w:p>
      <w:pPr>
        <w:pStyle w:val="FirstParagraph"/>
      </w:pPr>
      <w:r>
        <w:rPr>
          <w:iCs/>
          <w:i/>
        </w:rPr>
        <w:t xml:space="preserve">(keep this paragraph mostly as is):</w:t>
      </w:r>
      <w:r>
        <w:t xml:space="preserve"> </w:t>
      </w: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characterizing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m:oMath>
        <m:r>
          <m:t>A</m:t>
        </m:r>
        <m:r>
          <m:t>N</m:t>
        </m:r>
        <m:r>
          <m:t>P</m:t>
        </m:r>
        <m:sSub>
          <m:e>
            <m:r>
              <m:t>P</m:t>
            </m:r>
          </m:e>
          <m:sub>
            <m:r>
              <m:t>w</m:t>
            </m:r>
            <m:r>
              <m:t>o</m:t>
            </m:r>
            <m:r>
              <m:t>o</m:t>
            </m:r>
            <m:r>
              <m:t>d</m:t>
            </m:r>
            <m:r>
              <m:t>y</m:t>
            </m:r>
          </m:sub>
        </m:sSub>
      </m:oMath>
      <w:r>
        <w:t xml:space="preserve"> </w:t>
      </w:r>
      <w:r>
        <w:t xml:space="preserve">(Davis et al., 2009; Dye et al., 2016;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iCs/>
          <w:i/>
        </w:rPr>
        <w:t xml:space="preserve">(cut most of this paragraph?):</w:t>
      </w:r>
      <w:r>
        <w:t xml:space="preserve"> </w:t>
      </w: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an exponential curve or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growing season</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slope of the relationship among individuals within the population, as the process of building species chronologies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2021)</w:t>
      </w:r>
      <w:r>
        <w:t xml:space="preserve">.</w:t>
      </w:r>
    </w:p>
    <w:p>
      <w:pPr>
        <w:pStyle w:val="BodyText"/>
      </w:pPr>
      <w:r>
        <w:rPr>
          <w:iCs/>
          <w:i/>
        </w:rPr>
        <w:t xml:space="preserve">(reword to ecology focus):</w:t>
      </w:r>
      <w:r>
        <w:t xml:space="preserve"> </w:t>
      </w:r>
      <w:r>
        <w:t xml:space="preserve">Dendrochronological studies most commonly focus on linear climate responses to individual climate drivers,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timeframes of seconds to days, photosynthesis and respiration display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2021; M. J. P.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problematic for reconstructing climate variables</w:t>
      </w:r>
      <w:r>
        <w:t xml:space="preserve"> </w:t>
      </w:r>
      <w:r>
        <w:t xml:space="preserve">(Esper &amp; Frank, 2009)</w:t>
      </w:r>
      <w:r>
        <w:t xml:space="preserve">, systems exhibiting these are typically avoided – e.g., by sampling at sites with characteristics that result in trees being more climate-limited, and traditional analysis methods are designed around first-order linear growth-climate relationships</w:t>
      </w:r>
      <w:r>
        <w:t xml:space="preserve"> </w:t>
      </w:r>
      <w:r>
        <w:t xml:space="preserve">(Fritts, 1976)</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2021; Tolwinski-Ward et al., 2013; Tumajer et al., 2017; Woodhouse, 1999)</w:t>
      </w:r>
      <w:r>
        <w:t xml:space="preserve"> </w:t>
      </w:r>
      <w:r>
        <w:rPr>
          <w:bCs/>
          <w:b/>
        </w:rPr>
        <w:t xml:space="preserve">one could say these were a lot of citation for it to be uncommon. Perhaps make it more clear what aspects are less common?</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2021)</w:t>
      </w:r>
      <w:r>
        <w:t xml:space="preserve">, yet growth sensitivity to their additive or interactive effects, potentially operating over different time windows, is not commonly considered</w:t>
      </w:r>
      <w:r>
        <w:t xml:space="preserve"> </w:t>
      </w:r>
      <w:r>
        <w:t xml:space="preserve">(but see Foster et al., 2016; Meko et al., 2011; Sánchez-Salguero et al., 2015)</w:t>
      </w:r>
      <w:r>
        <w:t xml:space="preserve">.</w:t>
      </w:r>
    </w:p>
    <w:p>
      <w:pPr>
        <w:pStyle w:val="BodyText"/>
      </w:pPr>
      <w:r>
        <w:rPr>
          <w:iCs/>
          <w:i/>
        </w:rPr>
        <w:t xml:space="preserve">(keep mostly the same):</w:t>
      </w:r>
      <w:r>
        <w:t xml:space="preserve"> </w:t>
      </w: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Foster et al., 2016; Muller-Landau et al., 2006)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developing long chronologies and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Cs/>
          <w:i/>
        </w:rPr>
        <w:t xml:space="preserve">i.e.</w:t>
      </w:r>
      <w:r>
        <w:t xml:space="preserve">, magnitude of response,</w:t>
      </w:r>
      <w:r>
        <w:t xml:space="preserve"> </w:t>
      </w:r>
      <w:r>
        <w:rPr>
          <w:iCs/>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2021;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2021)</w:t>
      </w:r>
      <w:r>
        <w:t xml:space="preserve">.</w:t>
      </w:r>
    </w:p>
    <w:p>
      <w:pPr>
        <w:pStyle w:val="BodyText"/>
      </w:pPr>
      <w:r>
        <w:rPr>
          <w:iCs/>
          <w:i/>
        </w:rPr>
        <w:t xml:space="preserve">(keep mostly the same, but shift emphasis more towards ecology):</w:t>
      </w:r>
      <w:r>
        <w:t xml:space="preserve"> </w:t>
      </w:r>
      <w:r>
        <w:t xml:space="preserve">Characterizing how tree growth and forest productivity are responding to slowly-changing environmental drivers is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fine root production, reproduction, defenses, etc. – is known to decline as individual trees and forest stands age</w:t>
      </w:r>
      <w:r>
        <w:t xml:space="preserve"> </w:t>
      </w:r>
      <w:r>
        <w:t xml:space="preserve">(Goulden et al., 2011; Pregitzer &amp; Euskirchen, 2004;</w:t>
      </w:r>
      <w:r>
        <w:t xml:space="preserve"> </w:t>
      </w:r>
      <w:r>
        <w:rPr>
          <w:bCs/>
          <w:b/>
        </w:rPr>
        <w:t xml:space="preserve">meinzer_agerelated_2011?</w:t>
      </w:r>
      <w:r>
        <w:t xml:space="preserve">)</w:t>
      </w:r>
      <w:r>
        <w:t xml:space="preserve">.</w:t>
      </w:r>
      <w:r>
        <w:t xml:space="preserve"> </w:t>
      </w:r>
      <w:r>
        <w:t xml:space="preserve">However, tree size and time are almost inextricably linked (because each cored individual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P. F. Sullivan et al., 2016)</w:t>
      </w:r>
      <w:r>
        <w:t xml:space="preserve">.</w:t>
      </w:r>
      <w:r>
        <w:t xml:space="preserve"> </w:t>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and apply a new method that allows simultaneous consideration of the effects of primary climate drivers (</w:t>
      </w:r>
      <w:r>
        <w:rPr>
          <w:iCs/>
          <w:i/>
        </w:rPr>
        <w:t xml:space="preserve">i.e.</w:t>
      </w:r>
      <w:r>
        <w:t xml:space="preserve">, the most influential climate variables and the time window over which they operate), tree size, and year on annual tree growth.</w:t>
      </w:r>
      <w:r>
        <w:t xml:space="preserve"> </w:t>
      </w:r>
      <w:r>
        <w:rPr>
          <w:iCs/>
          <w:i/>
        </w:rPr>
        <w:t xml:space="preserve">This approach allows us to address hypotheses</w:t>
      </w:r>
      <w:r>
        <w:t xml:space="preserve"> </w:t>
      </w:r>
      <w:r>
        <w:t xml:space="preserve">(Table 1).</w:t>
      </w:r>
    </w:p>
    <w:p>
      <w:pPr>
        <w:pStyle w:val="BodyText"/>
      </w:pPr>
      <w:r>
        <w:rPr>
          <w:bCs/>
          <w:b/>
        </w:rPr>
        <w:t xml:space="preserve">Table 1 | (hypothesis table)</w:t>
      </w:r>
      <w:r>
        <w:t xml:space="preserve">. ….</w:t>
      </w:r>
      <w:r>
        <w:t xml:space="preserve"> </w:t>
      </w:r>
      <w:r>
        <w:drawing>
          <wp:inline>
            <wp:extent cx="5943600" cy="32862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943600" cy="3286276"/>
                    </a:xfrm>
                    <a:prstGeom prst="rect">
                      <a:avLst/>
                    </a:prstGeom>
                    <a:noFill/>
                    <a:ln w="9525">
                      <a:noFill/>
                      <a:headEnd/>
                      <a:tailEnd/>
                    </a:ln>
                  </pic:spPr>
                </pic:pic>
              </a:graphicData>
            </a:graphic>
          </wp:inline>
        </w:drawing>
      </w:r>
    </w:p>
    <w:bookmarkEnd w:id="30"/>
    <w:bookmarkStart w:id="38" w:name="Materials"/>
    <w:p>
      <w:pPr>
        <w:pStyle w:val="Heading1"/>
      </w:pPr>
      <w:r>
        <w:t xml:space="preserve">Materials and Methods</w:t>
      </w:r>
    </w:p>
    <w:p>
      <w:pPr>
        <w:pStyle w:val="FirstParagraph"/>
      </w:pPr>
      <w:r>
        <w:t xml:space="preserve">(</w:t>
      </w:r>
      <w:r>
        <w:rPr>
          <w:iCs/>
          <w:i/>
        </w:rPr>
        <w:t xml:space="preserve">I believe methods can stay mostly the same.</w:t>
      </w:r>
      <w:r>
        <w:t xml:space="preserve">)</w:t>
      </w:r>
    </w:p>
    <w:bookmarkStart w:id="33"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rPr>
                <m:sty m:val="p"/>
              </m:rPr>
              <m:t>∘</m:t>
            </m:r>
          </m:sup>
        </m:sSup>
      </m:oMath>
      <w:r>
        <w:t xml:space="preserve"> </w:t>
      </w:r>
      <w:r>
        <w:t xml:space="preserve">to 61.30</w:t>
      </w:r>
      <m:oMath>
        <m:sSup>
          <m:e>
            <m:r>
              <m:t>​</m:t>
            </m:r>
          </m:e>
          <m:sup>
            <m:r>
              <m:rPr>
                <m:sty m:val="p"/>
              </m:rP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2, S1, S2).</w:t>
      </w:r>
      <w:r>
        <w:t xml:space="preserve"> </w:t>
      </w:r>
      <w:r>
        <w:t xml:space="preserve">Nine of these sites (exception: LT) are large forest dynamics plots of the Forest Global Earth Observatory</w:t>
      </w:r>
      <w:r>
        <w:t xml:space="preserve"> </w:t>
      </w:r>
      <w:r>
        <w:t xml:space="preserve">(ForestGEO, K. J. Anderson-Teixeira, Davies, et al., 2015; Davies et al., 2021)</w:t>
      </w:r>
      <w:r>
        <w:t xml:space="preserve">.</w:t>
      </w:r>
      <w:r>
        <w:t xml:space="preserve"> </w:t>
      </w:r>
      <w:r>
        <w:t xml:space="preserve">Trees of species represented within the ForestGEO plots were cored within the plot (n=5 sites) and/or nearby within similar forest types (n=5 sites), following a variety of sampling protocols designed to meet the varied objectives of the original studies (Tables S1, S3).</w:t>
      </w:r>
      <w:r>
        <w:t xml:space="preserve"> </w:t>
      </w:r>
      <w:r>
        <w:t xml:space="preserve">There was wide variation in the distribution of record start years, which approximate 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Cs/>
          <w:b/>
        </w:rPr>
        <w:t xml:space="preserve">Table 2 | Sites included in this analysis</w:t>
      </w:r>
      <w:r>
        <w:t xml:space="preserve">. Here and throughout, sites are ordered by descending mean annual temperature. Additional site information is provided in Appendix S1 and Table S1, and tree species and sampling details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31"/>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&amp; Smiley, 1968)</w:t>
      </w:r>
      <w:r>
        <w:t xml:space="preserve">.</w:t>
      </w:r>
      <w:r>
        <w:t xml:space="preserve"> </w:t>
      </w:r>
      <w:r>
        <w:t xml:space="preserve">From among the full set of original</w:t>
      </w:r>
      <w:r>
        <w:t xml:space="preserve"> </w:t>
      </w:r>
      <m:oMath>
        <m:r>
          <m:t>R</m:t>
        </m:r>
        <m:r>
          <m:t>W</m:t>
        </m:r>
      </m:oMath>
      <w:r>
        <w:t xml:space="preserve"> </w:t>
      </w:r>
      <w:r>
        <w:t xml:space="preserve">measurements, we excluded cores for which we detected errors (e.g., labeling inconsistencies, obvious dating errors) that could not be resolved before finalizing the analysis.</w:t>
      </w:r>
      <w:r>
        <w:t xml:space="preserve"> </w:t>
      </w:r>
      <w:r>
        <w:t xml:space="preserve">We also excluded records with insufficient sample size or anomalous growth patterns, including</w:t>
      </w:r>
      <w:r>
        <w:t xml:space="preserve"> </w:t>
      </w:r>
      <w:r>
        <w:t xml:space="preserve">(1) species with &lt; 7 cores,</w:t>
      </w:r>
      <w:r>
        <w:t xml:space="preserve"> </w:t>
      </w:r>
      <w:r>
        <w:t xml:space="preserve">(2) cores with &lt; 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criterion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tails of the</w:t>
      </w:r>
      <w:r>
        <w:t xml:space="preserve"> </w:t>
      </w:r>
      <m:oMath>
        <m:r>
          <m:t>D</m:t>
        </m:r>
        <m:r>
          <m:t>B</m:t>
        </m:r>
        <m:r>
          <m:t>H</m:t>
        </m:r>
      </m:oMath>
      <w:r>
        <w:t xml:space="preserve"> </w:t>
      </w:r>
      <w:r>
        <w:t xml:space="preserve">distribution, starting where reconstructed</w:t>
      </w:r>
      <w:r>
        <w:t xml:space="preserve"> </w:t>
      </w:r>
      <m:oMath>
        <m:r>
          <m:t>D</m:t>
        </m:r>
        <m:r>
          <m:t>B</m:t>
        </m:r>
        <m:r>
          <m:t>H</m:t>
        </m:r>
      </m:oMath>
      <w:r>
        <w:t xml:space="preserve"> </w:t>
      </w:r>
      <w:r>
        <w:t xml:space="preserve">(see below) was represented by &lt; 3 conspecific trees.</w:t>
      </w:r>
      <w:r>
        <w:t xml:space="preserve"> </w:t>
      </w:r>
      <w:r>
        <w:t xml:space="preserve">In total, this resulted in inclusion of 4655 cores from 3811 trees, 4513 of which (from 3705 trees)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t>
      </w:r>
      <m:oMath>
        <m:r>
          <m:t>B</m:t>
        </m:r>
        <m:r>
          <m:t>A</m:t>
        </m:r>
        <m:r>
          <m:rPr>
            <m:sty m:val="p"/>
          </m:rPr>
          <m:t>=</m:t>
        </m:r>
        <m:r>
          <m:t>π</m:t>
        </m:r>
        <m:sSup>
          <m:e>
            <m:r>
              <m:t>r</m:t>
            </m:r>
          </m:e>
          <m:sup>
            <m:r>
              <m:t>2</m:t>
            </m:r>
          </m:sup>
        </m:sSup>
      </m:oMath>
      <w:r>
        <w:t xml:space="preserve">, where</w:t>
      </w:r>
      <w:r>
        <w:t xml:space="preserve"> </w:t>
      </w:r>
      <m:oMath>
        <m:r>
          <m:t>r</m:t>
        </m:r>
      </m:oMath>
      <w:r>
        <w:t xml:space="preserve"> </w:t>
      </w:r>
      <w:r>
        <w:t xml:space="preserve">is radius). We then calculated basal area increment (</w:t>
      </w:r>
      <m:oMath>
        <m:r>
          <m:t>B</m:t>
        </m:r>
        <m:r>
          <m:t>A</m:t>
        </m:r>
        <m:r>
          <m:t>I</m:t>
        </m:r>
        <m:r>
          <m:rPr>
            <m:sty m:val="p"/>
          </m:rPr>
          <m:t>=</m:t>
        </m:r>
        <m:r>
          <m:t>B</m:t>
        </m:r>
        <m:sSub>
          <m:e>
            <m:r>
              <m:t>A</m:t>
            </m:r>
          </m:e>
          <m:sub>
            <m:r>
              <m:t>y</m:t>
            </m:r>
            <m:r>
              <m:rPr>
                <m:sty m:val="p"/>
              </m:rPr>
              <m:t>+</m:t>
            </m:r>
            <m:r>
              <m:t>1</m:t>
            </m:r>
          </m:sub>
        </m:sSub>
        <m:r>
          <m:rPr>
            <m:sty m:val="p"/>
          </m:rPr>
          <m:t>−</m:t>
        </m:r>
        <m:r>
          <m:t>B</m:t>
        </m:r>
        <m:sSub>
          <m:e>
            <m:r>
              <m:t>A</m:t>
            </m:r>
          </m:e>
          <m:sub>
            <m:r>
              <m:t>y</m:t>
            </m:r>
          </m:sub>
        </m:sSub>
      </m:oMath>
      <w:r>
        <w:t xml:space="preserve">, where</w:t>
      </w:r>
      <w:r>
        <w:t xml:space="preserve"> </w:t>
      </w:r>
      <m:oMath>
        <m:r>
          <m:t>y</m:t>
        </m:r>
      </m:oMath>
      <w:r>
        <w:t xml:space="preserve"> </w:t>
      </w:r>
      <w:r>
        <w:t xml:space="preserve">is year) and aboveground biomass growth increments (</w:t>
      </w:r>
      <m:oMath>
        <m:r>
          <m:t>Δ</m:t>
        </m:r>
        <m:r>
          <m:t>A</m:t>
        </m:r>
        <m:r>
          <m:t>G</m:t>
        </m:r>
        <m:r>
          <m:t>B</m:t>
        </m:r>
        <m:r>
          <m:rPr>
            <m:sty m:val="p"/>
          </m:rPr>
          <m:t>=</m:t>
        </m:r>
        <m:r>
          <m:t>A</m:t>
        </m:r>
        <m:r>
          <m:t>G</m:t>
        </m:r>
        <m:sSub>
          <m:e>
            <m:r>
              <m:t>B</m:t>
            </m:r>
          </m:e>
          <m:sub>
            <m:r>
              <m:t>y</m:t>
            </m:r>
            <m:r>
              <m:rPr>
                <m:sty m:val="p"/>
              </m:rPr>
              <m:t>+</m:t>
            </m:r>
            <m:r>
              <m:t>1</m:t>
            </m:r>
          </m:sub>
        </m:sSub>
        <m:r>
          <m:rPr>
            <m:sty m:val="p"/>
          </m:rPr>
          <m:t>−</m:t>
        </m:r>
        <m:r>
          <m:t>A</m:t>
        </m:r>
        <m:r>
          <m:t>G</m:t>
        </m:r>
        <m:sSub>
          <m:e>
            <m:r>
              <m:t>B</m:t>
            </m:r>
          </m:e>
          <m:sub>
            <m:r>
              <m:t>y</m:t>
            </m:r>
          </m:sub>
        </m:sSub>
      </m:oMath>
      <w:r>
        <w:t xml:space="preserve">].</w:t>
      </w:r>
      <w:r>
        <w:t xml:space="preserve"> </w:t>
      </w:r>
      <w:r>
        <w:t xml:space="preserve">Biomass allometries for temperate and tropical species were calculated using the R packages</w:t>
      </w:r>
      <w:r>
        <w:t xml:space="preserve"> </w:t>
      </w:r>
      <w:r>
        <w:rPr>
          <w:iCs/>
          <w:i/>
        </w:rPr>
        <w:t xml:space="preserve">allo-db</w:t>
      </w:r>
      <w:r>
        <w:t xml:space="preserve"> </w:t>
      </w:r>
      <w:r>
        <w:t xml:space="preserve">(Gonzalez-Akre et al. in revision) and</w:t>
      </w:r>
      <w:r>
        <w:t xml:space="preserve"> </w:t>
      </w:r>
      <w:r>
        <w:rPr>
          <w:iCs/>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(I. Harris et al., 2014; Ian Harris et al.,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32">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(K. Anderson-Teixeira et al., 2020)</w:t>
      </w:r>
      <w:r>
        <w:t xml:space="preserve">.</w:t>
      </w:r>
    </w:p>
    <w:bookmarkEnd w:id="33"/>
    <w:bookmarkStart w:id="37" w:name="Analysis"/>
    <w:p>
      <w:pPr>
        <w:pStyle w:val="Heading2"/>
      </w:pPr>
      <w:r>
        <w:t xml:space="preserve">Analysis methods</w:t>
      </w:r>
    </w:p>
    <w:p>
      <w:pPr>
        <w:pStyle w:val="FirstParagraph"/>
      </w:pPr>
      <w:r>
        <w:t xml:space="preserve">Our analysis consisted of two main steps: (1) identification of the primary climate drivers , and (2) combining these climate drivers,</w:t>
      </w:r>
      <w:r>
        <w:t xml:space="preserve"> </w:t>
      </w:r>
      <m:oMath>
        <m:r>
          <m:t>D</m:t>
        </m:r>
        <m:r>
          <m:t>B</m:t>
        </m:r>
        <m:r>
          <m:t>H</m:t>
        </m:r>
      </m:oMath>
      <w:r>
        <w:t xml:space="preserve">, and year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the decision to identify primary climate drivers at the level of site, as opposed to species, was motivated by the expectation that differences in optimal climate windows across species in one site would be minimal compared to cross-site differences (Fig. 2); however, analyses focused on interspecific differences could optimize species-specific climate sensitivity estimates by fitting</w:t>
      </w:r>
      <w:r>
        <w:t xml:space="preserve"> </w:t>
      </w:r>
      <w:r>
        <w:rPr>
          <w:iCs/>
          <w:i/>
        </w:rPr>
        <w:t xml:space="preserve">climwin</w:t>
      </w:r>
      <w:r>
        <w:t xml:space="preserve"> </w:t>
      </w:r>
      <w:r>
        <w:t xml:space="preserve">individually by species.</w:t>
      </w:r>
    </w:p>
    <w:p>
      <w:pPr>
        <w:pStyle w:val="CaptionedFigure"/>
      </w:pPr>
      <w:r>
        <w:drawing>
          <wp:inline>
            <wp:extent cx="5943600" cy="6655214"/>
            <wp:effectExtent b="0" l="0" r="0" t="0"/>
            <wp:docPr descr="Figure 1 | Schematic illustrating our analysis process. In step 1, the R package climwin (van de Pol et al., 2016) is used to identify the primary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4"/>
                    <a:stretch>
                      <a:fillRect/>
                    </a:stretch>
                  </pic:blipFill>
                  <pic:spPr bwMode="auto">
                    <a:xfrm>
                      <a:off x="0" y="0"/>
                      <a:ext cx="5943600" cy="6655214"/>
                    </a:xfrm>
                    <a:prstGeom prst="rect">
                      <a:avLst/>
                    </a:prstGeom>
                    <a:noFill/>
                    <a:ln w="9525">
                      <a:noFill/>
                      <a:headEnd/>
                      <a:tailEnd/>
                    </a:ln>
                  </pic:spPr>
                </pic:pic>
              </a:graphicData>
            </a:graphic>
          </wp:inline>
        </w:drawing>
      </w:r>
    </w:p>
    <w:p>
      <w:pPr>
        <w:pStyle w:val="ImageCaption"/>
      </w:pPr>
      <w:r>
        <w:rPr>
          <w:bCs/>
          <w:b/>
        </w:rPr>
        <w:t xml:space="preserve">Figure 1 | Schematic illustrating our analysis process.</w:t>
      </w:r>
      <w:r>
        <w:t xml:space="preserve"> </w:t>
      </w:r>
      <w:r>
        <w:t xml:space="preserve">In step 1, the R package</w:t>
      </w:r>
      <w:r>
        <w:t xml:space="preserve"> </w:t>
      </w:r>
      <w:r>
        <w:rPr>
          <w:iCs/>
          <w:i/>
        </w:rPr>
        <w:t xml:space="preserve">climwin</w:t>
      </w:r>
      <w:r>
        <w:t xml:space="preserve"> </w:t>
      </w:r>
      <w:r>
        <w:t xml:space="preserve">(van de Pol et al., 2016)</w:t>
      </w:r>
      <w:r>
        <w:t xml:space="preserve"> </w:t>
      </w:r>
      <w:r>
        <w:t xml:space="preserve">is used to identify the primary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5" w:name="Climate"/>
    <w:p>
      <w:pPr>
        <w:pStyle w:val="Heading3"/>
      </w:pPr>
      <w:r>
        <w:t xml:space="preserve">Identifying primary climate drivers (step 1)</w:t>
      </w:r>
    </w:p>
    <w:p>
      <w:pPr>
        <w:pStyle w:val="FirstParagraph"/>
      </w:pPr>
      <w:r>
        <w:t xml:space="preserve">We used the</w:t>
      </w:r>
      <w:r>
        <w:t xml:space="preserve"> </w:t>
      </w:r>
      <w:r>
        <w:rPr>
          <w:iCs/>
          <w:i/>
        </w:rPr>
        <w:t xml:space="preserve">climwin</w:t>
      </w:r>
      <w:r>
        <w:t xml:space="preserve"> </w:t>
      </w:r>
      <w:r>
        <w:t xml:space="preserve">package in R</w:t>
      </w:r>
      <w:r>
        <w:t xml:space="preserve"> </w:t>
      </w:r>
      <w:r>
        <w:t xml:space="preserve">(van de Pol et al., 2016)</w:t>
      </w:r>
      <w:r>
        <w:t xml:space="preserve"> </w:t>
      </w:r>
      <w:r>
        <w:t xml:space="preserve">to identify the most important climate variable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Cs/>
          <w:i/>
        </w:rPr>
        <w:t xml:space="preserve">e.g.</w:t>
      </w:r>
      <w:r>
        <w:t xml:space="preserve">, growth and aging of the tree, change in competitive dynamics, atmospheric pollution), we detrended the response variables by fiting penalized thin plate regression splines in generalized additive models</w:t>
      </w:r>
      <w:r>
        <w:t xml:space="preserve"> </w:t>
      </w:r>
      <w:r>
        <w:t xml:space="preserve">(GAM, function</w:t>
      </w:r>
      <w:r>
        <w:t xml:space="preserve"> </w:t>
      </w:r>
      <w:r>
        <w:rPr>
          <w:iCs/>
          <w:i/>
        </w:rPr>
        <w:t xml:space="preserve">gam</w:t>
      </w:r>
      <w:r>
        <w:t xml:space="preserve"> </w:t>
      </w:r>
      <w:r>
        <w:t xml:space="preserve">and</w:t>
      </w:r>
      <w:r>
        <w:t xml:space="preserve"> </w:t>
      </w:r>
      <w:r>
        <w:rPr>
          <w:iCs/>
          <w:i/>
        </w:rPr>
        <w:t xml:space="preserve">s</w:t>
      </w:r>
      <w:r>
        <w:t xml:space="preserve"> </w:t>
      </w:r>
      <w:r>
        <w:t xml:space="preserve">in R Package</w:t>
      </w:r>
      <w:r>
        <w:t xml:space="preserve"> </w:t>
      </w:r>
      <w:r>
        <w:rPr>
          <w:iCs/>
          <w:i/>
        </w:rPr>
        <w:t xml:space="preserve">mgcv</w:t>
      </w:r>
      <w:r>
        <w:t xml:space="preserve">, Wood, 2011)</w:t>
      </w:r>
      <w:r>
        <w:t xml:space="preserve"> </w:t>
      </w:r>
      <w:r>
        <w:t xml:space="preserve">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The smoothing parameters were automaticaly selected by the</w:t>
      </w:r>
      <w:r>
        <w:t xml:space="preserve"> </w:t>
      </w:r>
      <w:r>
        <w:rPr>
          <w:iCs/>
          <w:i/>
        </w:rPr>
        <w:t xml:space="preserve">gam</w:t>
      </w:r>
      <w:r>
        <w:t xml:space="preserve"> </w:t>
      </w:r>
      <w:r>
        <w:t xml:space="preserve">function by generalized cross-validation (GCV).</w:t>
      </w:r>
      <w:r>
        <w:t xml:space="preserve"> </w:t>
      </w:r>
      <w:r>
        <w:t xml:space="preserve">We then used</w:t>
      </w:r>
      <w:r>
        <w:t xml:space="preserve"> </w:t>
      </w:r>
      <w:r>
        <w:rPr>
          <w:iCs/>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Cs/>
          <w:i/>
        </w:rPr>
        <w:t xml:space="preserve">climwin</w:t>
      </w:r>
      <w:r>
        <w:t xml:space="preserve">, we specified a mixed effects model using species (when</w:t>
      </w:r>
      <w:r>
        <w:t xml:space="preserve"> </w:t>
      </w:r>
      <m:oMath>
        <m:r>
          <m:t>n</m:t>
        </m:r>
        <m:r>
          <m:rPr>
            <m:sty m:val="p"/>
          </m:rP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climate variables within each group (water or temperature), analyzed over one of all possible combinations of consecutive months over a 15-month period ending near the time of cessation of formation of each annual ring (Table S1).</w:t>
      </w:r>
      <w:r>
        <w:t xml:space="preserve"> </w:t>
      </w:r>
      <w:r>
        <w:rPr>
          <w:iCs/>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Cs/>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to what would be identified using traditional methods for four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5"/>
    <w:bookmarkStart w:id="36" w:name="Combining"/>
    <w:p>
      <w:pPr>
        <w:pStyle w:val="Heading3"/>
      </w:pPr>
      <w:r>
        <w:t xml:space="preserve">Combining drivers in GLS model (step 2)</w:t>
      </w:r>
    </w:p>
    <w:p>
      <w:pPr>
        <w:pStyle w:val="FirstParagraph"/>
      </w:pPr>
      <w:r>
        <w:t xml:space="preserve">Having identified the primary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into linear mixed-effects models (function</w:t>
      </w:r>
      <w:r>
        <w:t xml:space="preserve"> </w:t>
      </w:r>
      <w:r>
        <w:rPr>
          <w:iCs/>
          <w:i/>
        </w:rPr>
        <w:t xml:space="preserve">lme</w:t>
      </w:r>
      <w:r>
        <w:t xml:space="preserve"> </w:t>
      </w:r>
      <w:r>
        <w:t xml:space="preserve">in R package</w:t>
      </w:r>
      <w:r>
        <w:t xml:space="preserve"> </w:t>
      </w:r>
      <w:r>
        <w:rPr>
          <w:iCs/>
          <w:i/>
        </w:rPr>
        <w:t xml:space="preserve">nlme</w:t>
      </w:r>
      <w:r>
        <w:t xml:space="preserve">), with core identity as a random intercept and</w:t>
      </w:r>
      <w:r>
        <w:t xml:space="preserve"> </w:t>
      </w:r>
      <m:oMath>
        <m:r>
          <m:t>y</m:t>
        </m:r>
        <m:r>
          <m:t>e</m:t>
        </m:r>
        <m:r>
          <m:t>a</m:t>
        </m:r>
        <m:r>
          <m:t>r</m:t>
        </m:r>
      </m:oMath>
      <w:r>
        <w:t xml:space="preserve"> </w:t>
      </w:r>
      <w:r>
        <w:t xml:space="preserve">as a continuous time covariate for the within-group correlation structure (function</w:t>
      </w:r>
      <w:r>
        <w:t xml:space="preserve"> </w:t>
      </w:r>
      <w:r>
        <w:rPr>
          <w:iCs/>
          <w:i/>
        </w:rPr>
        <w:t xml:space="preserve">corCAR1</w:t>
      </w:r>
      <w:r>
        <w:t xml:space="preserve">). We will refer to this model as a generalized least squares (GLS) model (Fig. 1).</w:t>
      </w:r>
    </w:p>
    <w:p>
      <w:pPr>
        <w:pStyle w:val="BodyText"/>
      </w:pPr>
      <w:r>
        <w:t xml:space="preserve">Before running the models, we checked for collinearity among the candidate variables using the</w:t>
      </w:r>
      <w:r>
        <w:t xml:space="preserve"> </w:t>
      </w:r>
      <w:r>
        <w:rPr>
          <w:iCs/>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rPr>
            <m:sty m:val="p"/>
          </m:rPr>
          <m:t>[</m:t>
        </m:r>
        <m:r>
          <m:t>Δ</m:t>
        </m:r>
        <m:r>
          <m:t>r</m:t>
        </m:r>
        <m:r>
          <m:rPr>
            <m:sty m:val="p"/>
          </m:rPr>
          <m:t>]</m:t>
        </m:r>
      </m:oMath>
      <w:r>
        <w:t xml:space="preserve">,</w:t>
      </w:r>
      <w:r>
        <w:t xml:space="preserve"> </w:t>
      </w:r>
      <m:oMath>
        <m:r>
          <m:t>l</m:t>
        </m:r>
        <m:r>
          <m:t>o</m:t>
        </m:r>
        <m:r>
          <m:t>g</m:t>
        </m:r>
        <m:r>
          <m:rPr>
            <m:sty m:val="p"/>
          </m:rPr>
          <m:t>[</m:t>
        </m:r>
        <m:r>
          <m:t>B</m:t>
        </m:r>
        <m:r>
          <m:t>A</m:t>
        </m:r>
        <m:r>
          <m:t>I</m:t>
        </m:r>
        <m:r>
          <m:rPr>
            <m:sty m:val="p"/>
          </m:rPr>
          <m:t>]</m:t>
        </m:r>
      </m:oMath>
      <w:r>
        <w:t xml:space="preserve">, or</w:t>
      </w:r>
      <w:r>
        <w:t xml:space="preserve"> </w:t>
      </w:r>
      <m:oMath>
        <m:r>
          <m:t>l</m:t>
        </m:r>
        <m:r>
          <m:t>o</m:t>
        </m:r>
        <m:r>
          <m:t>g</m:t>
        </m:r>
        <m:r>
          <m:rPr>
            <m:sty m:val="p"/>
          </m:rPr>
          <m:t>[</m:t>
        </m:r>
        <m:r>
          <m:t>Δ</m:t>
        </m:r>
        <m:r>
          <m:t>A</m:t>
        </m:r>
        <m:r>
          <m:t>G</m:t>
        </m:r>
        <m:r>
          <m:t>B</m:t>
        </m:r>
        <m:r>
          <m:rPr>
            <m:sty m:val="p"/>
          </m:rPr>
          <m:t>]</m:t>
        </m:r>
      </m:oMath>
      <w:r>
        <w:t xml:space="preserve">.</w:t>
      </w:r>
    </w:p>
    <w:p>
      <w:pPr>
        <w:pStyle w:val="BodyText"/>
      </w:pP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 we allowed concave-down fits, but ignored any concave-up fits on the basis that these are not expected biologically and, when identified in initial analyses, often appeared to be cases of over-fitting.</w:t>
      </w:r>
    </w:p>
    <w:p>
      <w:pPr>
        <w:pStyle w:val="BodyText"/>
      </w:pPr>
      <w:r>
        <w:t xml:space="preserve">As an example, a full model for</w:t>
      </w:r>
      <w:r>
        <w:t xml:space="preserve"> </w:t>
      </w:r>
      <m:oMath>
        <m:r>
          <m:t>l</m:t>
        </m:r>
        <m:r>
          <m:t>o</m:t>
        </m:r>
        <m:r>
          <m:t>g</m:t>
        </m:r>
        <m:r>
          <m:rPr>
            <m:sty m:val="p"/>
          </m:rPr>
          <m:t>[</m:t>
        </m:r>
        <m:r>
          <m:t>R</m:t>
        </m:r>
        <m:r>
          <m:t>W</m:t>
        </m:r>
        <m:r>
          <m:rPr>
            <m:sty m:val="p"/>
          </m:rPr>
          <m:t>]</m:t>
        </m:r>
      </m:oMath>
      <w:r>
        <w:t xml:space="preserve"> </w:t>
      </w:r>
      <w:r>
        <w:t xml:space="preserve">would look like this in</w:t>
      </w:r>
      <w:r>
        <w:t xml:space="preserve"> </w:t>
      </w:r>
      <w:r>
        <w:rPr>
          <w:iCs/>
          <w:i/>
        </w:rPr>
        <w:t xml:space="preserve">R</w:t>
      </w:r>
      <w:r>
        <w:t xml:space="preserve">:</w:t>
      </w:r>
    </w:p>
    <w:p>
      <w:pPr>
        <w:pStyle w:val="BodyText"/>
      </w:pPr>
      <w:r>
        <w:rPr>
          <w:iCs/>
          <w:i/>
        </w:rPr>
        <w:t xml:space="preserve">lme(</w:t>
      </w:r>
      <m:oMath>
        <m:r>
          <m:t>l</m:t>
        </m:r>
        <m:r>
          <m:t>o</m:t>
        </m:r>
        <m:r>
          <m:t>g</m:t>
        </m:r>
        <m:r>
          <m:rPr>
            <m:sty m:val="p"/>
          </m:rPr>
          <m:t>[</m:t>
        </m:r>
        <m:r>
          <m:t>R</m:t>
        </m:r>
        <m:r>
          <m:t>W</m:t>
        </m:r>
        <m:r>
          <m:rPr>
            <m:sty m:val="p"/>
          </m:rPr>
          <m:t>]</m:t>
        </m:r>
      </m:oMath>
      <w:r>
        <w:rPr>
          <w:iCs/>
          <w:i/>
        </w:rPr>
        <w:t xml:space="preserve"> </w:t>
      </w:r>
      <w:r>
        <w:rPr>
          <w:iCs/>
          <w:i/>
        </w:rPr>
        <w:t xml:space="preserve">~</w:t>
      </w:r>
      <w:r>
        <w:rPr>
          <w:iCs/>
          <w:i/>
        </w:rPr>
        <w:t xml:space="preserve"> </w:t>
      </w:r>
      <m:oMath>
        <m:r>
          <m:t>P</m:t>
        </m:r>
        <m:r>
          <m:t>E</m:t>
        </m:r>
        <m:r>
          <m:t>T</m:t>
        </m:r>
      </m:oMath>
      <w:r>
        <w:rPr>
          <w:iCs/>
          <w:i/>
        </w:rPr>
        <w:t xml:space="preserve"> </w:t>
      </w:r>
      <w:r>
        <w:rPr>
          <w:iCs/>
          <w:i/>
        </w:rPr>
        <w:t xml:space="preserve">+ I(</w:t>
      </w:r>
      <m:oMath>
        <m:r>
          <m:t>P</m:t>
        </m:r>
        <m:r>
          <m:t>E</m:t>
        </m:r>
        <m:r>
          <m:t>T</m:t>
        </m:r>
      </m:oMath>
      <w:r>
        <w:rPr>
          <w:iCs/>
          <w:i/>
        </w:rPr>
        <w:t xml:space="preserve">^2) +</w:t>
      </w:r>
      <w:r>
        <w:rPr>
          <w:iCs/>
          <w:i/>
        </w:rPr>
        <w:t xml:space="preserve"> </w:t>
      </w:r>
      <m:oMath>
        <m:sSub>
          <m:e>
            <m:r>
              <m:t>T</m:t>
            </m:r>
          </m:e>
          <m:sub>
            <m:r>
              <m:t>m</m:t>
            </m:r>
            <m:r>
              <m:t>i</m:t>
            </m:r>
            <m:r>
              <m:t>n</m:t>
            </m:r>
          </m:sub>
        </m:sSub>
      </m:oMath>
      <w:r>
        <w:rPr>
          <w:iCs/>
          <w:i/>
        </w:rPr>
        <w:t xml:space="preserve"> </w:t>
      </w:r>
      <w:r>
        <w:rPr>
          <w:iCs/>
          <w:i/>
        </w:rPr>
        <w:t xml:space="preserve">+ I(</w:t>
      </w:r>
      <m:oMath>
        <m:sSub>
          <m:e>
            <m:r>
              <m:t>T</m:t>
            </m:r>
          </m:e>
          <m:sub>
            <m:r>
              <m:t>m</m:t>
            </m:r>
            <m:r>
              <m:t>i</m:t>
            </m:r>
            <m:r>
              <m:t>n</m:t>
            </m:r>
          </m:sub>
        </m:sSub>
      </m:oMath>
      <w:r>
        <w:rPr>
          <w:iCs/>
          <w:i/>
        </w:rPr>
        <w:t xml:space="preserve">^2) +</w:t>
      </w:r>
      <w:r>
        <w:rPr>
          <w:iCs/>
          <w:i/>
        </w:rPr>
        <w:t xml:space="preserve"> </w:t>
      </w:r>
      <m:oMath>
        <m:r>
          <m:t>D</m:t>
        </m:r>
        <m:r>
          <m:t>B</m:t>
        </m:r>
        <m:r>
          <m:t>H</m:t>
        </m:r>
      </m:oMath>
      <w:r>
        <w:rPr>
          <w:iCs/>
          <w:i/>
        </w:rPr>
        <w:t xml:space="preserve"> </w:t>
      </w:r>
      <w:r>
        <w:rPr>
          <w:iCs/>
          <w:i/>
        </w:rPr>
        <w:t xml:space="preserve">+ I(</w:t>
      </w:r>
      <m:oMath>
        <m:r>
          <m:t>D</m:t>
        </m:r>
        <m:r>
          <m:t>B</m:t>
        </m:r>
        <m:r>
          <m:t>H</m:t>
        </m:r>
      </m:oMath>
      <w:r>
        <w:rPr>
          <w:iCs/>
          <w:i/>
        </w:rPr>
        <w:t xml:space="preserve">^2)</w:t>
      </w:r>
      <w:r>
        <w:rPr>
          <w:iCs/>
          <w:i/>
        </w:rPr>
        <w:t xml:space="preserve">“</w:t>
      </w:r>
      <w:r>
        <w:rPr>
          <w:iCs/>
          <w:i/>
        </w:rPr>
        <w:t xml:space="preserve">, random = ~1|</w:t>
      </w:r>
      <m:oMath>
        <m:r>
          <m:t>c</m:t>
        </m:r>
        <m:r>
          <m:t>o</m:t>
        </m:r>
        <m:r>
          <m:t>r</m:t>
        </m:r>
        <m:r>
          <m:t>e</m:t>
        </m:r>
        <m:r>
          <m:t>I</m:t>
        </m:r>
        <m:r>
          <m:t>D</m:t>
        </m:r>
      </m:oMath>
      <w:r>
        <w:rPr>
          <w:iCs/>
          <w:i/>
        </w:rPr>
        <w:t xml:space="preserve">, correlation = corCAR1(form=~</w:t>
      </w:r>
      <m:oMath>
        <m:r>
          <m:t>Y</m:t>
        </m:r>
        <m:r>
          <m:t>e</m:t>
        </m:r>
        <m:r>
          <m:t>a</m:t>
        </m:r>
        <m:r>
          <m:t>r</m:t>
        </m:r>
      </m:oMath>
      <w:r>
        <w:rPr>
          <w:iCs/>
          <w:i/>
        </w:rPr>
        <w:t xml:space="preserve">|</w:t>
      </w:r>
      <m:oMath>
        <m:r>
          <m:t>c</m:t>
        </m:r>
        <m:r>
          <m:t>o</m:t>
        </m:r>
        <m:r>
          <m:t>r</m:t>
        </m:r>
        <m:r>
          <m:t>e</m:t>
        </m:r>
        <m:r>
          <m:t>I</m:t>
        </m:r>
        <m:r>
          <m:t>D</m:t>
        </m:r>
      </m:oMath>
      <w:r>
        <w:rPr>
          <w:iCs/>
          <w:i/>
        </w:rPr>
        <w:t xml:space="preserve">), data =</w:t>
      </w:r>
      <w:r>
        <w:rPr>
          <w:iCs/>
          <w:i/>
        </w:rPr>
        <w:t xml:space="preserve"> </w:t>
      </w:r>
      <m:oMath>
        <m:r>
          <m:t>x</m:t>
        </m:r>
      </m:oMath>
      <w:r>
        <w:rPr>
          <w:iCs/>
          <w:i/>
        </w:rPr>
        <w:t xml:space="preserve">, na.action =</w:t>
      </w:r>
      <w:r>
        <w:rPr>
          <w:iCs/>
          <w:i/>
        </w:rPr>
        <w:t xml:space="preserve">”</w:t>
      </w:r>
      <w:r>
        <w:rPr>
          <w:iCs/>
          <w:i/>
        </w:rPr>
        <w:t xml:space="preserve">na.fail</w:t>
      </w:r>
      <w:r>
        <w:rPr>
          <w:iCs/>
          <w:i/>
        </w:rPr>
        <w:t xml:space="preserve">“</w:t>
      </w:r>
      <w:r>
        <w:rPr>
          <w:iCs/>
          <w:i/>
        </w:rPr>
        <w:t xml:space="preserve">, method =</w:t>
      </w:r>
      <w:r>
        <w:rPr>
          <w:iCs/>
          <w:i/>
        </w:rPr>
        <w:t xml:space="preserve">”</w:t>
      </w:r>
      <w:r>
        <w:rPr>
          <w:iCs/>
          <w:i/>
        </w:rPr>
        <w:t xml:space="preserve">ML")</w:t>
      </w:r>
    </w:p>
    <w:p>
      <w:pPr>
        <w:pStyle w:val="BodyText"/>
      </w:pPr>
      <w:r>
        <w:t xml:space="preserve">where</w:t>
      </w:r>
      <w:r>
        <w:t xml:space="preserve"> </w:t>
      </w:r>
      <m:oMath>
        <m:r>
          <m:t>x</m:t>
        </m:r>
      </m:oMath>
      <w:r>
        <w:t xml:space="preserve"> </w:t>
      </w:r>
      <w:r>
        <w:t xml:space="preserve">is a complete data set (with no missing value) for one species at one site. The method is set to maximum likelihood (</w:t>
      </w:r>
      <w:r>
        <w:rPr>
          <w:iCs/>
          <w:i/>
        </w:rPr>
        <w:t xml:space="preserve">ML</w:t>
      </w:r>
      <w:r>
        <w:t xml:space="preserve">) during the model selection phase, but to restricted maximizing likelihood (</w:t>
      </w:r>
      <w:r>
        <w:rPr>
          <w:iCs/>
          <w:i/>
        </w:rPr>
        <w:t xml:space="preserve">REML</w:t>
      </w:r>
      <w:r>
        <w:t xml:space="preserve">) once the best model is identified.</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rPr>
            <m:sty m:val="p"/>
          </m:rPr>
          <m:t>≥</m:t>
        </m:r>
      </m:oMath>
      <w:r>
        <w:t xml:space="preserve"> </w:t>
      </w:r>
      <w:r>
        <w:t xml:space="preserve">3 trees spanning</w:t>
      </w:r>
      <w:r>
        <w:t xml:space="preserve"> </w:t>
      </w:r>
      <m:oMath>
        <m:r>
          <m:rPr>
            <m:sty m:val="p"/>
          </m:rPr>
          <m:t>≥</m:t>
        </m:r>
      </m:oMath>
      <w:r>
        <w:t xml:space="preserve"> </w:t>
      </w:r>
      <w:r>
        <w:t xml:space="preserve">40% the total</w:t>
      </w:r>
      <w:r>
        <w:t xml:space="preserve"> </w:t>
      </w:r>
      <m:oMath>
        <m:r>
          <m:t>D</m:t>
        </m:r>
        <m:r>
          <m:t>B</m:t>
        </m:r>
        <m:r>
          <m:t>H</m:t>
        </m:r>
      </m:oMath>
      <w:r>
        <w:t xml:space="preserve"> </w:t>
      </w:r>
      <w:r>
        <w:t xml:space="preserve">range for</w:t>
      </w:r>
      <w:r>
        <w:t xml:space="preserve"> </w:t>
      </w:r>
      <m:oMath>
        <m:r>
          <m:rPr>
            <m:sty m:val="p"/>
          </m:rPr>
          <m:t>≥</m:t>
        </m:r>
        <m:r>
          <m:t>2</m:t>
        </m:r>
        <m:r>
          <m:rPr>
            <m:sty m:val="p"/>
          </m:rP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rPr>
            <m:sty m:val="p"/>
          </m:rPr>
          <m:t>≤</m:t>
        </m:r>
      </m:oMath>
      <w:r>
        <w:t xml:space="preserve"> </w:t>
      </w:r>
      <w:r>
        <w:t xml:space="preserve">25 cm, if present.</w:t>
      </w:r>
      <w:r>
        <w:t xml:space="preserve"> </w:t>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S58-S67).</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growth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rPr>
            <m:sty m:val="p"/>
          </m:rP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6"/>
    <w:bookmarkEnd w:id="37"/>
    <w:bookmarkEnd w:id="38"/>
    <w:bookmarkStart w:id="49" w:name="Results"/>
    <w:p>
      <w:pPr>
        <w:pStyle w:val="Heading1"/>
      </w:pPr>
      <w:r>
        <w:t xml:space="preserve">Results</w:t>
      </w:r>
    </w:p>
    <w:bookmarkStart w:id="40" w:name="Validation"/>
    <w:p>
      <w:pPr>
        <w:pStyle w:val="Heading2"/>
      </w:pPr>
      <w:r>
        <w:t xml:space="preserve">Validation of the method</w:t>
      </w:r>
    </w:p>
    <w:p>
      <w:pPr>
        <w:pStyle w:val="FirstParagraph"/>
      </w:pPr>
      <w:r>
        <w:t xml:space="preserve">Our process identified similar primary climate drivers to those identified via established dendrochronological analysis methods for identifying climate signals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Cs/>
          <w:b/>
        </w:rPr>
        <w:t xml:space="preserve">Figure 2 | Example comparison of climate sensitivity derived via traditional methods (</w:t>
      </w:r>
      <w:r>
        <w:t xml:space="preserve">a</w:t>
      </w:r>
      <w:r>
        <w:rPr>
          <w:bCs/>
          <w:b/>
        </w:rPr>
        <w:t xml:space="preserve">) and our approach (</w:t>
      </w:r>
      <w:r>
        <w:t xml:space="preserve">b-f</w:t>
      </w:r>
      <w:r>
        <w:rPr>
          <w:bCs/>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Cs/>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Cs/>
          <w:i/>
        </w:rPr>
        <w:t xml:space="preserve">climwin</w:t>
      </w:r>
      <w:r>
        <w:t xml:space="preserve"> </w:t>
      </w:r>
      <w:r>
        <w:t xml:space="preserve">as the most influential window. Panels (</w:t>
      </w:r>
      <w:r>
        <w:rPr>
          <w:bCs/>
          <w:b/>
        </w:rPr>
        <w:t xml:space="preserve">b-d</w:t>
      </w:r>
      <w:r>
        <w:t xml:space="preserve">) give statistics for time windows tested in</w:t>
      </w:r>
      <w:r>
        <w:t xml:space="preserve"> </w:t>
      </w:r>
      <w:r>
        <w:rPr>
          <w:iCs/>
          <w:i/>
        </w:rPr>
        <w:t xml:space="preserve">climwin</w:t>
      </w:r>
      <w:r>
        <w:t xml:space="preserve">, where window open and close indicate months prior to current August, and cells across the lower diagonal indicate single-month tests (akin to panel</w:t>
      </w:r>
      <w:r>
        <w:t xml:space="preserve"> </w:t>
      </w:r>
      <w:r>
        <w:rPr>
          <w:bCs/>
          <w:b/>
        </w:rPr>
        <w:t xml:space="preserve">a</w:t>
      </w:r>
      <w:r>
        <w:t xml:space="preserve">). Panels (</w:t>
      </w:r>
      <w:r>
        <w:rPr>
          <w:bCs/>
          <w:b/>
        </w:rPr>
        <w:t xml:space="preserve">b</w:t>
      </w:r>
      <w:r>
        <w:t xml:space="preserve">) and (</w:t>
      </w:r>
      <w:r>
        <w:rPr>
          <w:bCs/>
          <w:b/>
        </w:rPr>
        <w:t xml:space="preserve">c</w:t>
      </w:r>
      <w:r>
        <w:t xml:space="preserve">) give values of linear and quadratic terms for each time window, and (</w:t>
      </w:r>
      <w:r>
        <w:rPr>
          <w:bCs/>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Cs/>
          <w:b/>
        </w:rPr>
        <w:t xml:space="preserve">e</w:t>
      </w:r>
      <w:r>
        <w:t xml:space="preserve">) shows the correlation of individual-level residuals to PET, with the function fit in</w:t>
      </w:r>
      <w:r>
        <w:t xml:space="preserve"> </w:t>
      </w:r>
      <w:r>
        <w:rPr>
          <w:iCs/>
          <w:i/>
        </w:rPr>
        <w:t xml:space="preserve">climwin</w:t>
      </w:r>
      <w:r>
        <w:t xml:space="preserve">. Finally, panel (</w:t>
      </w:r>
      <w:r>
        <w:rPr>
          <w:bCs/>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iCs/>
          <w:i/>
        </w:rPr>
        <w:t xml:space="preserve">Trends with year, when assessed, were consistent with those observed in a separate analysis of</w:t>
      </w:r>
      <w:r>
        <w:rPr>
          <w:iCs/>
          <w:i/>
        </w:rPr>
        <w:t xml:space="preserve"> </w:t>
      </w:r>
      <m:oMath>
        <m:r>
          <m:t>D</m:t>
        </m:r>
        <m:r>
          <m:t>B</m:t>
        </m:r>
        <m:r>
          <m:t>H</m:t>
        </m:r>
      </m:oMath>
      <w:r>
        <w:rPr>
          <w:iCs/>
          <w:i/>
        </w:rPr>
        <w:t xml:space="preserve">-growth relationships by year (Figs. S58-S67).</w:t>
      </w:r>
    </w:p>
    <w:bookmarkEnd w:id="40"/>
    <w:bookmarkStart w:id="44" w:name="Climate"/>
    <w:p>
      <w:pPr>
        <w:pStyle w:val="Heading2"/>
      </w:pPr>
      <w:r>
        <w:t xml:space="preserve">Climate sensitivity</w:t>
      </w:r>
    </w:p>
    <w:p>
      <w:pPr>
        <w:pStyle w:val="FirstParagraph"/>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S15-S34).</w:t>
      </w:r>
      <w:r>
        <w:t xml:space="preserve"> </w:t>
      </w:r>
      <w:r>
        <w:t xml:space="preserve">In 8 of 20 cases, both the optimal climate variable and time window were identical across growth metrics (e.g., Fig. S19).</w:t>
      </w:r>
      <w:r>
        <w:t xml:space="preserve"> </w:t>
      </w:r>
      <w:r>
        <w:t xml:space="preserve">In 10 cases,</w:t>
      </w:r>
      <w:r>
        <w:t xml:space="preserve"> </w:t>
      </w:r>
      <w:r>
        <w:rPr>
          <w:iCs/>
          <w:i/>
        </w:rPr>
        <w:t xml:space="preserve">climwin</w:t>
      </w:r>
      <w:r>
        <w:t xml:space="preserve"> </w:t>
      </w:r>
      <w:r>
        <w:t xml:space="preserve">identified the same climate variable but different (often overlapping) time windows (e.g., Fig. S20).</w:t>
      </w:r>
      <w:r>
        <w:t xml:space="preserve"> </w:t>
      </w:r>
      <w:r>
        <w:t xml:space="preserve">Finally, in two cases of variables that had only weak effects and mixed responses among species in the final models (temperature variable group at HKK, precipitation variable group at HF),</w:t>
      </w:r>
      <w:r>
        <w:t xml:space="preserve"> </w:t>
      </w:r>
      <w:r>
        <w:rPr>
          <w:iCs/>
          <w:i/>
        </w:rPr>
        <w:t xml:space="preserve">climwin</w:t>
      </w:r>
      <w:r>
        <w:t xml:space="preserve"> </w:t>
      </w:r>
      <w:r>
        <w:t xml:space="preserve">identified different climate variables and different time windows (Figs. S18, S24).</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Cs/>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78% of site-species combinations (n=36 of 46; Fig. 3).</w:t>
      </w:r>
      <w:r>
        <w:t xml:space="preserve"> </w:t>
      </w:r>
      <w:r>
        <w:t xml:space="preserve">There were seven site-species combinations for which only a precipitation term was significant (2 at BCNM, 3 at SCBI, and 2 at LDW), two for which only a temperature term was significant (</w:t>
      </w:r>
      <w:r>
        <w:rPr>
          <w:iCs/>
          <w:i/>
        </w:rPr>
        <w:t xml:space="preserve">Chukrasia tabularis</w:t>
      </w:r>
      <w:r>
        <w:t xml:space="preserve"> </w:t>
      </w:r>
      <w:r>
        <w:t xml:space="preserve">at HKK and</w:t>
      </w:r>
      <w:r>
        <w:t xml:space="preserve"> </w:t>
      </w:r>
      <w:r>
        <w:rPr>
          <w:iCs/>
          <w:i/>
        </w:rPr>
        <w:t xml:space="preserve">Betula papyrifera</w:t>
      </w:r>
      <w:r>
        <w:t xml:space="preserve"> </w:t>
      </w:r>
      <w:r>
        <w:t xml:space="preserve">at NIO),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3 | Species-level responses of</w:t>
      </w:r>
      <w:r>
        <w:rPr>
          <w:bCs/>
          <w:b/>
        </w:rPr>
        <w:t xml:space="preserve"> </w:t>
      </w:r>
      <m:oMath>
        <m:r>
          <m:t>R</m:t>
        </m:r>
        <m:r>
          <m:t>W</m:t>
        </m:r>
      </m:oMath>
      <w:r>
        <w:rPr>
          <w:bCs/>
          <w:b/>
        </w:rPr>
        <w:t xml:space="preserve"> </w:t>
      </w:r>
      <w:r>
        <w:rPr>
          <w:bCs/>
          <w:b/>
        </w:rPr>
        <w:t xml:space="preserve">to climwin-selected variables in precipitation and temperature variable groups.</w:t>
      </w:r>
      <w:r>
        <w:t xml:space="preserve"> </w:t>
      </w:r>
      <w:r>
        <w:rPr>
          <w:iCs/>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two species, and were predominantly positive (Fig. 3).</w:t>
      </w:r>
      <w:r>
        <w:t xml:space="preserve"> </w:t>
      </w:r>
      <m:oMath>
        <m:r>
          <m:t>P</m:t>
        </m:r>
        <m:r>
          <m:t>P</m:t>
        </m:r>
        <m:r>
          <m:t>T</m:t>
        </m:r>
      </m:oMath>
      <w:r>
        <w:t xml:space="preserve"> </w:t>
      </w:r>
      <w:r>
        <w:t xml:space="preserve">was selected over</w:t>
      </w:r>
      <w:r>
        <w:t xml:space="preserve"> </w:t>
      </w:r>
      <m:oMath>
        <m:r>
          <m:t>P</m:t>
        </m:r>
        <m:r>
          <m:t>D</m:t>
        </m:r>
        <m:r>
          <m:t>F</m:t>
        </m:r>
      </m:oMath>
      <w:r>
        <w:t xml:space="preserve"> </w:t>
      </w:r>
      <w:r>
        <w:t xml:space="preserve">as the top variable in five of the eight sites with both variables available (but had no significant main effect at one of these, NIO), and was the only option at two sites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In the extratropics, the most influential windows were limited to the current spring and early summer at LDW, whereas optimal windows at three sites extended back to the previous fall (LT, CB) or summer (SCBI).</w:t>
      </w:r>
      <w:r>
        <w:t xml:space="preserve"> </w:t>
      </w:r>
      <w:r>
        <w:t xml:space="preserve">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one species (</w:t>
      </w:r>
      <w:r>
        <w:rPr>
          <w:iCs/>
          <w:i/>
        </w:rPr>
        <w:t xml:space="preserve">Tsuga canadensis</w:t>
      </w:r>
      <w:r>
        <w:t xml:space="preserve"> </w:t>
      </w:r>
      <w:r>
        <w:t xml:space="preserve">at HF;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w:t>
      </w:r>
      <w:r>
        <w:t xml:space="preserve"> </w:t>
      </w:r>
      <w:r>
        <w:rPr>
          <w:iCs/>
          <w:i/>
        </w:rPr>
        <w:t xml:space="preserve">Betula alleghaniensis</w:t>
      </w:r>
      <w:r>
        <w:t xml:space="preserve"> </w:t>
      </w:r>
      <w:r>
        <w:t xml:space="preserve">at HF; Fig. 3).</w:t>
      </w:r>
    </w:p>
    <w:p>
      <w:pPr>
        <w:pStyle w:val="BodyText"/>
      </w:pPr>
      <w:r>
        <w:t xml:space="preserve">A temperature variable was included in the best model for all but eight site-species combinations, with predominantly negative responses, particularly at the higher end of the temperature range (81%; 34% with negative first-order term, 47%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Cs/>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current growing season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Cs/>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Cs/>
          <w:i/>
        </w:rPr>
        <w:t xml:space="preserve">Tsuga canadensis</w:t>
      </w:r>
      <w:r>
        <w:t xml:space="preserve"> </w:t>
      </w:r>
      <w:r>
        <w:t xml:space="preserve">at HF, the latter contrasting with a negative response of the three deciduous species analyzed at HF (Fig. 3).</w:t>
      </w:r>
      <w:r>
        <w:t xml:space="preserve"> </w:t>
      </w:r>
      <w:r>
        <w:t xml:space="preserve">At the highest-latitude site (SC), which has undergone rapid warming and permafrost melt,</w:t>
      </w:r>
      <w:r>
        <w:t xml:space="preserve"> </w:t>
      </w:r>
      <w:r>
        <w:rPr>
          <w:iCs/>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S55).</w:t>
      </w:r>
    </w:p>
    <w:bookmarkStart w:id="43" w:name="Variation"/>
    <w:p>
      <w:pPr>
        <w:pStyle w:val="Heading3"/>
      </w:pPr>
      <w:r>
        <w:t xml:space="preserve">Variation in climate sensitivity with DBH</w:t>
      </w:r>
    </w:p>
    <w:p>
      <w:pPr>
        <w:pStyle w:val="FirstParagraph"/>
      </w:pPr>
      <w:r>
        <w:t xml:space="preserve">Interactive effects of climate and</w:t>
      </w:r>
      <w:r>
        <w:t xml:space="preserve"> </w:t>
      </w:r>
      <m:oMath>
        <m:r>
          <m:t>D</m:t>
        </m:r>
        <m:r>
          <m:t>B</m:t>
        </m:r>
        <m:r>
          <m:t>H</m:t>
        </m:r>
      </m:oMath>
      <w:r>
        <w:t xml:space="preserve"> </w:t>
      </w:r>
      <w:r>
        <w:t xml:space="preserve">were found for 90 of the 203 (44%)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S56) and for 17 of the 36 (47%) with</w:t>
      </w:r>
      <w:r>
        <w:t xml:space="preserve"> </w:t>
      </w:r>
      <m:oMath>
        <m:r>
          <m:t>B</m:t>
        </m:r>
        <m:r>
          <m:t>A</m:t>
        </m:r>
        <m:r>
          <m:t>I</m:t>
        </m:r>
      </m:oMath>
      <w:r>
        <w:t xml:space="preserve"> </w:t>
      </w:r>
      <w:r>
        <w:t xml:space="preserve">as the growth metric (Fig. S57).</w:t>
      </w:r>
      <w:r>
        <w:t xml:space="preserve"> </w:t>
      </w:r>
      <w:r>
        <w:t xml:space="preserve">The majority of these interactions were positive (75% for</w:t>
      </w:r>
      <w:r>
        <w:t xml:space="preserve"> </w:t>
      </w:r>
      <m:oMath>
        <m:r>
          <m:t>R</m:t>
        </m:r>
        <m:r>
          <m:t>W</m:t>
        </m:r>
      </m:oMath>
      <w:r>
        <w:t xml:space="preserve">; 65% for</w:t>
      </w:r>
      <w:r>
        <w:t xml:space="preserve"> </w:t>
      </w:r>
      <m:oMath>
        <m:r>
          <m:t>B</m:t>
        </m:r>
        <m:r>
          <m:t>A</m:t>
        </m:r>
        <m:r>
          <m:t>I</m:t>
        </m:r>
      </m:oMath>
      <w:r>
        <w:t xml:space="preserve">), indicating that larger trees generally respond more positively to precipitation or its frequency (Fig. 4).</w:t>
      </w:r>
      <w:r>
        <w:t xml:space="preserve"> </w:t>
      </w:r>
      <w:r>
        <w:t xml:space="preserve">Among the exceptions to this pattern (n=4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rPr>
            <m:sty m:val="p"/>
          </m:rP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S56) and for 50% with</w:t>
      </w:r>
      <w:r>
        <w:t xml:space="preserve"> </w:t>
      </w:r>
      <m:oMath>
        <m:r>
          <m:t>B</m:t>
        </m:r>
        <m:r>
          <m:t>A</m:t>
        </m:r>
        <m:r>
          <m:t>I</m:t>
        </m:r>
      </m:oMath>
      <w:r>
        <w:t xml:space="preserve"> </w:t>
      </w:r>
      <w:r>
        <w:t xml:space="preserve">as the growth metric (Fig. S57).</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10 of 16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Cs/>
          <w:i/>
        </w:rPr>
        <w:t xml:space="preserve">i.e.</w:t>
      </w:r>
      <w:r>
        <w:t xml:space="preserve">, more negative/ less positive response of larger trees to higher temperatures) occurred in the more water-limited forests (HKK, LT, CB; Fig. 4), whereas positive interactions were more common in mesic forests (SCBI, HF, ZOF).</w:t>
      </w:r>
    </w:p>
    <w:p>
      <w:pPr>
        <w:pStyle w:val="CaptionedFigure"/>
      </w:pPr>
      <w:r>
        <w:drawing>
          <wp:inline>
            <wp:extent cx="5943600" cy="5943600"/>
            <wp:effectExtent b="0" l="0" r="0" t="0"/>
            <wp:docPr descr="Figure 4 | Examples of climate - DBH interactions for three species at three sites. Shown are modeled response functions at the minimum and maximum and maximum tails of the DBH distribution.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4 | Examples of climate - DBH interactions for three species at three sites.</w:t>
      </w:r>
      <w:r>
        <w:t xml:space="preserve"> </w:t>
      </w:r>
      <w:r>
        <w:t xml:space="preserve">Shown are modeled response functions at the minimum and maximum and maximum tails of the</w:t>
      </w:r>
      <w:r>
        <w:t xml:space="preserve"> </w:t>
      </w:r>
      <m:oMath>
        <m:r>
          <m:t>D</m:t>
        </m:r>
        <m:r>
          <m:t>B</m:t>
        </m:r>
        <m:r>
          <m:t>H</m:t>
        </m:r>
      </m:oMath>
      <w:r>
        <w:t xml:space="preserve"> </w:t>
      </w:r>
      <w:r>
        <w:t xml:space="preserve">distribution. Other terms in the model are held constant at their median. Transparent ribbons indicate 95% confidence intervals. Vertical grey lines indicate the long-term mean for the climate variable, shading indicates 1 SD.</w:t>
      </w:r>
    </w:p>
    <w:bookmarkEnd w:id="43"/>
    <w:bookmarkEnd w:id="44"/>
    <w:bookmarkStart w:id="46" w:name="Influence"/>
    <w:p>
      <w:pPr>
        <w:pStyle w:val="Heading2"/>
      </w:pPr>
      <w:r>
        <w:t xml:space="preserve">Influence of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S35-S54).</w:t>
      </w:r>
      <w:r>
        <w:t xml:space="preserve"> </w:t>
      </w: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S35-S54).</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S39).</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S49).</w:t>
      </w:r>
    </w:p>
    <w:p>
      <w:pPr>
        <w:pStyle w:val="BodyText"/>
      </w:pPr>
      <w:r>
        <w:t xml:space="preserve">All three growth metrics,</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varied with</w:t>
      </w:r>
      <w:r>
        <w:t xml:space="preserve"> </w:t>
      </w:r>
      <m:oMath>
        <m:r>
          <m:t>D</m:t>
        </m:r>
        <m:r>
          <m:t>B</m:t>
        </m:r>
        <m:r>
          <m:t>H</m:t>
        </m:r>
      </m:oMath>
      <w:r>
        <w:t xml:space="preserve"> </w:t>
      </w:r>
      <w:r>
        <w:t xml:space="preserve">for most species at all sites (Fig. 5).</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5).</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Cs/>
          <w:i/>
        </w:rPr>
        <w:t xml:space="preserve">Melia azedarach</w:t>
      </w:r>
      <w:r>
        <w:t xml:space="preserve"> </w:t>
      </w:r>
      <w:r>
        <w:t xml:space="preserve">at HKK,</w:t>
      </w:r>
      <w:r>
        <w:t xml:space="preserve"> </w:t>
      </w:r>
      <w:r>
        <w:rPr>
          <w:iCs/>
          <w:i/>
        </w:rPr>
        <w:t xml:space="preserve">Juglans nigra</w:t>
      </w:r>
      <w:r>
        <w:t xml:space="preserve"> </w:t>
      </w:r>
      <w:r>
        <w:t xml:space="preserve">at SCBI,</w:t>
      </w:r>
      <w:r>
        <w:t xml:space="preserve"> </w:t>
      </w:r>
      <w:r>
        <w:rPr>
          <w:iCs/>
          <w:i/>
        </w:rPr>
        <w:t xml:space="preserve">Acer rubrum</w:t>
      </w:r>
      <w:r>
        <w:t xml:space="preserve"> </w:t>
      </w:r>
      <w:r>
        <w:t xml:space="preserve">at HF,</w:t>
      </w:r>
      <w:r>
        <w:t xml:space="preserve"> </w:t>
      </w:r>
      <w:r>
        <w:rPr>
          <w:iCs/>
          <w:i/>
        </w:rPr>
        <w:t xml:space="preserve">Betula papyrifera</w:t>
      </w:r>
      <w:r>
        <w:t xml:space="preserve"> </w:t>
      </w:r>
      <w:r>
        <w:t xml:space="preserve">at NIO;</w:t>
      </w:r>
      <w:r>
        <w:t xml:space="preserve"> </w:t>
      </w:r>
      <w:r>
        <w:rPr>
          <w:iCs/>
          <w:i/>
        </w:rPr>
        <w:t xml:space="preserve">Populous tremuloides</w:t>
      </w:r>
      <w:r>
        <w:t xml:space="preserve"> </w:t>
      </w:r>
      <w:r>
        <w:t xml:space="preserve">at CB; Table S2) and/or grew in relatively open stands (e.g., both species at LT,</w:t>
      </w:r>
      <w:r>
        <w:t xml:space="preserve"> </w:t>
      </w:r>
      <w:r>
        <w:rPr>
          <w:iCs/>
          <w:i/>
        </w:rPr>
        <w:t xml:space="preserve">Picea mariana</w:t>
      </w:r>
      <w:r>
        <w:t xml:space="preserve"> </w:t>
      </w:r>
      <w:r>
        <w:t xml:space="preserve">at SC; Fig. 5).</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Cs/>
          <w:i/>
        </w:rPr>
        <w:t xml:space="preserve">Trichilia tuberculata</w:t>
      </w:r>
      <w:r>
        <w:t xml:space="preserve"> </w:t>
      </w:r>
      <w:r>
        <w:t xml:space="preserve">and</w:t>
      </w:r>
      <w:r>
        <w:t xml:space="preserve"> </w:t>
      </w:r>
      <w:r>
        <w:rPr>
          <w:iCs/>
          <w:i/>
        </w:rPr>
        <w:t xml:space="preserve">Tetragastris panamensis</w:t>
      </w:r>
      <w:r>
        <w:t xml:space="preserve"> </w:t>
      </w:r>
      <w:r>
        <w:t xml:space="preserve">at BCNM;</w:t>
      </w:r>
      <w:r>
        <w:t xml:space="preserve"> </w:t>
      </w:r>
      <w:r>
        <w:rPr>
          <w:iCs/>
          <w:i/>
        </w:rPr>
        <w:t xml:space="preserve">Fagus</w:t>
      </w:r>
      <w:r>
        <w:t xml:space="preserve"> </w:t>
      </w:r>
      <w:r>
        <w:t xml:space="preserve">spp. at SCBI and Žofín,</w:t>
      </w:r>
      <w:r>
        <w:t xml:space="preserve"> </w:t>
      </w:r>
      <w:r>
        <w:rPr>
          <w:iCs/>
          <w:i/>
        </w:rPr>
        <w:t xml:space="preserve">Acer saccharum</w:t>
      </w:r>
      <w:r>
        <w:t xml:space="preserve"> </w:t>
      </w:r>
      <w:r>
        <w:t xml:space="preserve">at LDW,</w:t>
      </w:r>
      <w:r>
        <w:t xml:space="preserve"> </w:t>
      </w:r>
      <w:r>
        <w:rPr>
          <w:iCs/>
          <w:i/>
        </w:rPr>
        <w:t xml:space="preserve">Picea</w:t>
      </w:r>
      <w:r>
        <w:t xml:space="preserve"> </w:t>
      </w:r>
      <w:r>
        <w:t xml:space="preserve">spp. at Žofín and CB; Table S2).</w:t>
      </w:r>
    </w:p>
    <w:p>
      <w:pPr>
        <w:pStyle w:val="BodyText"/>
      </w:pPr>
      <w:r>
        <w:t xml:space="preserve">Trends in both</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were far more consistent across sites and species, most commonly increasing to a peak at intermediate</w:t>
      </w:r>
      <w:r>
        <w:t xml:space="preserve"> </w:t>
      </w:r>
      <m:oMath>
        <m:r>
          <m:t>D</m:t>
        </m:r>
        <m:r>
          <m:t>B</m:t>
        </m:r>
        <m:r>
          <m:t>H</m:t>
        </m:r>
      </m:oMath>
      <w:r>
        <w:t xml:space="preserve"> </w:t>
      </w:r>
      <w:r>
        <w:t xml:space="preserve">and then declining (Fig. 5).</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Cs/>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Cs/>
          <w:i/>
        </w:rPr>
        <w:t xml:space="preserve">Pinus ponderosa</w:t>
      </w:r>
      <w:r>
        <w:t xml:space="preserve"> </w:t>
      </w:r>
      <w:r>
        <w:t xml:space="preserve">at LT and</w:t>
      </w:r>
      <w:r>
        <w:t xml:space="preserve"> </w:t>
      </w:r>
      <w:r>
        <w:rPr>
          <w:iCs/>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Cs/>
          <w:i/>
        </w:rPr>
        <w:t xml:space="preserve">Pinus longaeva</w:t>
      </w:r>
      <w:r>
        <w:t xml:space="preserve"> </w:t>
      </w:r>
      <w:r>
        <w:t xml:space="preserve">at CB).</w:t>
      </w:r>
    </w:p>
    <w:p>
      <w:pPr>
        <w:pStyle w:val="CaptionedFigure"/>
      </w:pPr>
      <w:r>
        <w:drawing>
          <wp:inline>
            <wp:extent cx="5943600" cy="5943600"/>
            <wp:effectExtent b="0" l="0" r="0" t="0"/>
            <wp:docPr descr="Figure 5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5 | Growth sensitivity to DBH: (a)</w:t>
      </w:r>
      <w:r>
        <w:rPr>
          <w:bCs/>
          <w:b/>
        </w:rPr>
        <w:t xml:space="preserve"> </w:t>
      </w:r>
      <m:oMath>
        <m:r>
          <m:t>R</m:t>
        </m:r>
        <m:r>
          <m:t>W</m:t>
        </m:r>
      </m:oMath>
      <w:r>
        <w:rPr>
          <w:bCs/>
          <w:b/>
        </w:rPr>
        <w:t xml:space="preserve">, (b)</w:t>
      </w:r>
      <w:r>
        <w:rPr>
          <w:bCs/>
          <w:b/>
        </w:rPr>
        <w:t xml:space="preserve"> </w:t>
      </w:r>
      <m:oMath>
        <m:r>
          <m:t>B</m:t>
        </m:r>
        <m:r>
          <m:t>A</m:t>
        </m:r>
        <m:r>
          <m:t>I</m:t>
        </m:r>
      </m:oMath>
      <w:r>
        <w:rPr>
          <w:bCs/>
          <w:b/>
        </w:rPr>
        <w:t xml:space="preserve">, (c)</w:t>
      </w:r>
      <w:r>
        <w:rPr>
          <w:bCs/>
          <w:b/>
        </w:rPr>
        <w:t xml:space="preserve"> </w:t>
      </w:r>
      <m:oMath>
        <m:r>
          <m:t>Δ</m:t>
        </m:r>
        <m:r>
          <m:t>A</m:t>
        </m:r>
        <m:r>
          <m:t>G</m:t>
        </m:r>
        <m:r>
          <m:t>B</m:t>
        </m:r>
      </m:oMath>
      <w:r>
        <w:rPr>
          <w:bCs/>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6"/>
    <w:bookmarkStart w:id="48"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31 - 32 (depending on growth metric) of the 37 species- site combinations tested (Figs. 6, S35-S54).</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Cs/>
          <w:i/>
        </w:rPr>
        <w:t xml:space="preserve">Picea mariana</w:t>
      </w:r>
      <w:r>
        <w:t xml:space="preserve"> </w:t>
      </w:r>
      <w:r>
        <w:t xml:space="preserve">at SC,</w:t>
      </w:r>
      <w:r>
        <w:t xml:space="preserve"> </w:t>
      </w:r>
      <w:r>
        <w:rPr>
          <w:iCs/>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S35-S54).</w:t>
      </w:r>
      <w:r>
        <w:t xml:space="preserve"> </w:t>
      </w:r>
      <w:r>
        <w:t xml:space="preserve">Significant positive growth trends were observed for only three species,</w:t>
      </w:r>
      <w:r>
        <w:t xml:space="preserve">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Cs/>
          <w:i/>
        </w:rPr>
        <w:t xml:space="preserve">Chukrasia tabularis</w:t>
      </w:r>
      <w:r>
        <w:t xml:space="preserve"> </w:t>
      </w:r>
      <w:r>
        <w:t xml:space="preserve">at HKK,</w:t>
      </w:r>
      <w:r>
        <w:t xml:space="preserve"> </w:t>
      </w:r>
      <w:r>
        <w:rPr>
          <w:iCs/>
          <w:i/>
        </w:rPr>
        <w:t xml:space="preserve">Pinus strobiformis</w:t>
      </w:r>
      <w:r>
        <w:t xml:space="preserve"> </w:t>
      </w:r>
      <w:r>
        <w:t xml:space="preserve">at LT, and</w:t>
      </w:r>
      <w:r>
        <w:t xml:space="preserve"> </w:t>
      </w:r>
      <w:r>
        <w:rPr>
          <w:iCs/>
          <w:i/>
        </w:rPr>
        <w:t xml:space="preserve">Picea engelmannii</w:t>
      </w:r>
      <w:r>
        <w:t xml:space="preserve"> </w:t>
      </w:r>
      <w:r>
        <w:t xml:space="preserve">and</w:t>
      </w:r>
      <w:r>
        <w:t xml:space="preserve"> </w:t>
      </w:r>
      <w:r>
        <w:rPr>
          <w:iCs/>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S35-S54).</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8"/>
    <w:bookmarkEnd w:id="49"/>
    <w:bookmarkStart w:id="54" w:name="Discussion"/>
    <w:p>
      <w:pPr>
        <w:pStyle w:val="Heading1"/>
      </w:pPr>
      <w:r>
        <w:t xml:space="preserve">Discussion</w:t>
      </w:r>
    </w:p>
    <w:p>
      <w:pPr>
        <w:pStyle w:val="FirstParagraph"/>
      </w:pPr>
      <w:r>
        <w:t xml:space="preserve">Our new tree-ring analysis method allows simultaneous consideration of the effects of primary climate drivers, tree size, and slowly changing environmental conditions on annual growth (Fig. 1), yielding results that are consistent with those that would be obtained using conventional methods (Figs. 2, S11-S14; Table S5) while offering a more complete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50" w:name="Climate"/>
    <w:p>
      <w:pPr>
        <w:pStyle w:val="Heading2"/>
      </w:pPr>
      <w:r>
        <w:t xml:space="preserve">Climate sensitivity</w:t>
      </w:r>
    </w:p>
    <w:p>
      <w:pPr>
        <w:pStyle w:val="FirstParagraph"/>
      </w:pPr>
      <w:r>
        <w:t xml:space="preserve">Across diverse climates and forest types (Tables 2,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 – at least up until the long-term mean –</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These findings are generally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sometimes benefit from warm winter or spring temperatures</w:t>
      </w:r>
      <w:r>
        <w:t xml:space="preserve"> </w:t>
      </w:r>
      <w:r>
        <w:t xml:space="preserve">(Babst et al., 2019; Tumajer et al., 2017)</w:t>
      </w:r>
      <w:r>
        <w:t xml:space="preserve">, as we show for all three species at ZOF and one of our species at HF (Fig. 3).</w:t>
      </w:r>
      <w:r>
        <w:t xml:space="preserve"> </w:t>
      </w:r>
      <w:r>
        <w:t xml:space="preserve">However, the predominantly negative temperature responses (Fig. 3) imply that in most forests, tree growth is likely to be reduced by warming temperatures.</w:t>
      </w:r>
    </w:p>
    <w:p>
      <w:pPr>
        <w:pStyle w:val="BodyText"/>
      </w:pPr>
      <w:r>
        <w:rPr>
          <w:bCs/>
          <w:b/>
        </w:rPr>
        <w:t xml:space="preserve">(should I remove this paragraph?)</w:t>
      </w:r>
      <w:r>
        <w:t xml:space="preserve"> </w:t>
      </w: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primary climate drivers (step 1; Fig. 1), we consider the full sample of individual trees, as opposed to a chronology in which variance has been standardized and the individual cores have been averaged.</w:t>
      </w:r>
      <w:r>
        <w:t xml:space="preserve"> </w:t>
      </w:r>
      <w:r>
        <w:t xml:space="preserve">Some differences in variables identified and the slope between growth and climate are to be expected given the methodological differences (Appendix S4); however, as a whole the identified drivers and directions of response are consistent with conventional methods (Figs. 2, S11-S14; Table S5).</w:t>
      </w:r>
      <w:r>
        <w:t xml:space="preserve"> </w:t>
      </w:r>
      <w:r>
        <w:rPr>
          <w:strike/>
        </w:rPr>
        <w:t xml:space="preserve">Another way in which the current analysis differed from conventional methods is that we pooled species by site when determining the primary climate drivers (step 1; Fig. 1).</w:t>
      </w:r>
      <w:r>
        <w:t xml:space="preserve"> </w:t>
      </w:r>
      <w:r>
        <w:rPr>
          <w:strike/>
        </w:rP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rPr>
          <w:strike/>
        </w:rPr>
        <w:t xml:space="preserve"> </w:t>
      </w:r>
      <w:r>
        <w:rPr>
          <w:iCs/>
          <w:i/>
          <w:strike/>
        </w:rPr>
        <w:t xml:space="preserve">climwin</w:t>
      </w:r>
      <w:r>
        <w:rPr>
          <w:strike/>
        </w:rPr>
        <w:t xml:space="preserve"> </w:t>
      </w:r>
      <w:r>
        <w:rPr>
          <w:strike/>
        </w:rPr>
        <w:t xml:space="preserve">individually be species.</w:t>
      </w:r>
      <w:r>
        <w:t xml:space="preserve"> </w:t>
      </w:r>
      <w:r>
        <w:rPr>
          <w:iCs/>
          <w:i/>
        </w:rPr>
        <w:t xml:space="preserve">(2nd sentence moved to methods)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rPr>
          <w:strike/>
        </w:rPr>
        <w:t xml:space="preserve">Finally, our analysis differed from conventional approaches in the use of GLS models to simultaneously quantify the effects of climate,</w:t>
      </w:r>
      <w:r>
        <w:rPr>
          <w:strike/>
        </w:rPr>
        <w:t xml:space="preserve"> </w:t>
      </w:r>
      <m:oMath>
        <m:r>
          <m:t>D</m:t>
        </m:r>
        <m:r>
          <m:t>B</m:t>
        </m:r>
        <m:r>
          <m:t>H</m:t>
        </m:r>
      </m:oMath>
      <w:r>
        <w:rPr>
          <w:strike/>
        </w:rPr>
        <w:t xml:space="preserve">, and year, while accounting for idiosyncratic growth trends of individual trees through an autocorrelation structure</w:t>
      </w:r>
      <w:r>
        <w:rPr>
          <w:strike/>
        </w:rPr>
        <w:t xml:space="preserve"> </w:t>
      </w:r>
      <w:r>
        <w:rPr>
          <w:strike/>
        </w:rPr>
        <w:t xml:space="preserve">(step 2, Fig. 1; see also Evans et al., 2017; Rollinson et al., 2021)</w:t>
      </w:r>
      <w:r>
        <w:rPr>
          <w:strike/>
        </w:rPr>
        <w:t xml:space="preserve">.</w:t>
      </w:r>
      <w:r>
        <w:t xml:space="preserve"> </w:t>
      </w:r>
      <w:r>
        <w:rPr>
          <w:strike/>
        </w:rPr>
        <w:t xml:space="preserve">This approach allowed the consideration of additive and interactive effects of climate with variables that change over longer time frames – here,</w:t>
      </w:r>
      <w:r>
        <w:rPr>
          <w:strike/>
        </w:rPr>
        <w:t xml:space="preserve"> </w:t>
      </w:r>
      <m:oMath>
        <m:r>
          <m:t>D</m:t>
        </m:r>
        <m:r>
          <m:t>B</m:t>
        </m:r>
        <m:r>
          <m:t>H</m:t>
        </m:r>
      </m:oMath>
      <w:r>
        <w:rPr>
          <w:strike/>
        </w:rPr>
        <w:t xml:space="preserve"> </w:t>
      </w:r>
      <w:r>
        <w:rPr>
          <w:strike/>
        </w:rP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(44% of cases analyzed; Figs. 4, S56, S57).</w:t>
      </w:r>
      <w:r>
        <w:t xml:space="preserve"> </w:t>
      </w:r>
      <w:r>
        <w:t xml:space="preserve">The most coherent pattern observed in this analysis was a tendency for larger trees to be more sensitive to precipitation and high temperatures (Fig. 4), consistent with widespread observations that larger trees are more sensitive to drought</w:t>
      </w:r>
      <w:r>
        <w:t xml:space="preserve"> </w:t>
      </w:r>
      <w:r>
        <w:t xml:space="preserve">(e.g.,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Rollinson et al., 2021; Rossi et al., 2007)</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rPr>
            <m:sty m:val="p"/>
          </m:rPr>
          <m:t>×</m:t>
        </m:r>
      </m:oMath>
      <w:r>
        <w:t xml:space="preserve"> </w:t>
      </w:r>
      <w:r>
        <w:t xml:space="preserve">climate interactions instead of</w:t>
      </w:r>
      <w:r>
        <w:t xml:space="preserve"> </w:t>
      </w:r>
      <m:oMath>
        <m:r>
          <m:t>c</m:t>
        </m:r>
        <m:r>
          <m:t>l</m:t>
        </m:r>
        <m:r>
          <m:t>i</m:t>
        </m:r>
        <m:r>
          <m:t>m</m:t>
        </m:r>
        <m:r>
          <m:t>a</m:t>
        </m:r>
        <m:r>
          <m:t>t</m:t>
        </m:r>
        <m:r>
          <m:t>e</m:t>
        </m:r>
        <m:r>
          <m:rPr>
            <m:sty m:val="p"/>
          </m:rPr>
          <m:t>×</m:t>
        </m:r>
      </m:oMath>
      <w:r>
        <w:t xml:space="preserve"> </w:t>
      </w:r>
      <w:r>
        <w:t xml:space="preserve">climate interactions) could potentially be used to account for directional changes in climate sensitivity, which have commonly been documented</w:t>
      </w:r>
      <w:r>
        <w:t xml:space="preserve"> </w:t>
      </w:r>
      <w:r>
        <w:t xml:space="preserve">(e.g., Helcoski et al., 2019; Holz et al., 2018; Maxwell et al., 2016; Peltier &amp; Ogle, 2020; Schurman et al., 2019;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50"/>
    <w:bookmarkStart w:id="51" w:name="Variation"/>
    <w:p>
      <w:pPr>
        <w:pStyle w:val="Heading2"/>
      </w:pPr>
      <w:r>
        <w:t xml:space="preserve">Variation with</w:t>
      </w:r>
      <w:r>
        <w:t xml:space="preserve"> </w:t>
      </w:r>
      <m:oMath>
        <m:r>
          <m:t>D</m:t>
        </m:r>
        <m:r>
          <m:t>B</m:t>
        </m:r>
        <m:r>
          <m:t>H</m:t>
        </m:r>
      </m:oMath>
    </w:p>
    <w:p>
      <w:pPr>
        <w:pStyle w:val="FirstParagraph"/>
      </w:pPr>
      <w:r>
        <w:t xml:space="preserve">Growth rate – 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w:t>
      </w:r>
      <w:r>
        <w:t xml:space="preserve">– varied nonlinearly with</w:t>
      </w:r>
      <w:r>
        <w:t xml:space="preserve"> </w:t>
      </w:r>
      <m:oMath>
        <m:r>
          <m:t>D</m:t>
        </m:r>
        <m:r>
          <m:t>B</m:t>
        </m:r>
        <m:r>
          <m:t>H</m:t>
        </m:r>
      </m:oMath>
      <w:r>
        <w:t xml:space="preserve"> </w:t>
      </w:r>
      <w:r>
        <w:t xml:space="preserve">for the vast majority of site-species combinations (81 - 98% depending on growth metric; Fig. 5).</w:t>
      </w:r>
      <w:r>
        <w:t xml:space="preserve"> </w:t>
      </w:r>
      <w:r>
        <w:t xml:space="preserve">Variation in these patterns – particularly for</w:t>
      </w:r>
      <w:r>
        <w:t xml:space="preserve"> </w:t>
      </w:r>
      <m:oMath>
        <m:r>
          <m:t>R</m:t>
        </m:r>
        <m:r>
          <m:t>W</m:t>
        </m:r>
      </m:oMath>
      <w:r>
        <w:t xml:space="preserve">, for which variation was most pronounced – was driven by two primary, interrelated factors: species ecology and stand history.</w:t>
      </w:r>
      <w:r>
        <w:t xml:space="preserve"> </w:t>
      </w:r>
      <w:r>
        <w:t xml:space="preserve">Species that would have established in fairly open conditions –</w:t>
      </w:r>
      <w:r>
        <w:t xml:space="preserve"> </w:t>
      </w:r>
      <w:r>
        <w:rPr>
          <w:iCs/>
          <w:i/>
        </w:rPr>
        <w:t xml:space="preserve">i.e.</w:t>
      </w:r>
      <w:r>
        <w:t xml:space="preserve">, shade-intolerant species (Table S2) and those at sites with more open canopies (e.g., LT, SC) –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Cs/>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K. J. Anderson-Teixeira, McGarvey, et al., 2015; Helcoski et al., 2019; Muller-Landau et al., 2006)</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for the majority (77%) of species-site combinations analyzed (Fig. 5),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S35-S54), suggesting that some of such declines in Figure 5 are more properly attributed to the effect of year than that of</w:t>
      </w:r>
      <w:r>
        <w:t xml:space="preserve"> </w:t>
      </w:r>
      <m:oMath>
        <m:r>
          <m:t>D</m:t>
        </m:r>
        <m:r>
          <m:t>B</m:t>
        </m:r>
        <m:r>
          <m:t>H</m:t>
        </m:r>
      </m:oMath>
      <w:r>
        <w:t xml:space="preserve">.</w:t>
      </w:r>
    </w:p>
    <w:bookmarkEnd w:id="51"/>
    <w:bookmarkStart w:id="52"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S35-S54), and consistent with an independent analysis of growth-</w:t>
      </w:r>
      <m:oMath>
        <m:r>
          <m:t>D</m:t>
        </m:r>
        <m:r>
          <m:t>B</m:t>
        </m:r>
        <m:r>
          <m:t>H</m:t>
        </m:r>
      </m:oMath>
      <w:r>
        <w:t xml:space="preserve"> </w:t>
      </w:r>
      <w:r>
        <w:t xml:space="preserve">trends by decade (Figs. 6, S58-S67), indicating that our approach is robust in its analytical structure.</w:t>
      </w:r>
      <w:r>
        <w:t xml:space="preserve"> </w:t>
      </w:r>
      <w:r>
        <w:t xml:space="preserve">Indeed, in a comparative analysis of several methods commonly used to detect growth trends, an approach</w:t>
      </w:r>
      <w:r>
        <w:t xml:space="preserve"> </w:t>
      </w:r>
      <w:r>
        <w:rPr>
          <w:iCs/>
          <w:i/>
        </w:rPr>
        <w:t xml:space="preserve">conceptually?</w:t>
      </w:r>
      <w:r>
        <w:t xml:space="preserve"> </w:t>
      </w:r>
      <w:r>
        <w:t xml:space="preserve">parallel (</w:t>
      </w:r>
      <w:r>
        <w:rPr>
          <w:bCs/>
          <w:b/>
        </w:rPr>
        <w:t xml:space="preserve">AT comments that it doesn’t seem parallel</w:t>
      </w:r>
      <w:r>
        <w:t xml:space="preserve">)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5).</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some potential sampling and survivorship biases that can influence overall trends in positive or negative directions</w:t>
      </w:r>
      <w:r>
        <w:t xml:space="preserve"> </w:t>
      </w:r>
      <w:r>
        <w:t xml:space="preserve">(Brienen et al., 2017, Fig. 6, 2012; Groenendijk et al., 2015;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the primary drivers,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Cs/>
          <w:i/>
        </w:rPr>
        <w:t xml:space="preserve">Acer rubrum</w:t>
      </w:r>
      <w:r>
        <w:t xml:space="preserve"> </w:t>
      </w:r>
      <w:r>
        <w:t xml:space="preserve">and</w:t>
      </w:r>
      <w:r>
        <w:t xml:space="preserve"> </w:t>
      </w:r>
      <w:r>
        <w:rPr>
          <w:iCs/>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Cs/>
          <w:i/>
        </w:rPr>
        <w:t xml:space="preserve">Quercus</w:t>
      </w:r>
      <w:r>
        <w:t xml:space="preserve"> </w:t>
      </w:r>
      <w:r>
        <w:t xml:space="preserve">spp. at SCBI;</w:t>
      </w:r>
      <w:r>
        <w:t xml:space="preserve"> </w:t>
      </w:r>
      <w:r>
        <w:rPr>
          <w:iCs/>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w:t>
      </w:r>
      <w:r>
        <w:t xml:space="preserve"> </w:t>
      </w:r>
      <w:r>
        <w:t xml:space="preserve">(Lorimer et al., 1988; Lorimer &amp; Frelich, 2011)</w:t>
      </w:r>
      <w:r>
        <w:t xml:space="preserve">, and with increasing competition and declining woody productivity as young stands mature</w:t>
      </w:r>
      <w:r>
        <w:t xml:space="preserve"> </w:t>
      </w:r>
      <w:r>
        <w:t xml:space="preserve">(e.g., Goulden et al., 2011; Pregitzer &amp; Euskirchen, 2004)</w:t>
      </w:r>
      <w:r>
        <w:t xml:space="preserve">.</w:t>
      </w:r>
      <w:r>
        <w:t xml:space="preserve"> </w:t>
      </w:r>
      <w:r>
        <w:t xml:space="preserve">Even within older forests, light-demanding species that establish in gaps (e.g.,</w:t>
      </w:r>
      <w:r>
        <w:t xml:space="preserve"> </w:t>
      </w:r>
      <w:r>
        <w:rPr>
          <w:iCs/>
          <w:i/>
        </w:rPr>
        <w:t xml:space="preserve">Jacaranda copaia</w:t>
      </w:r>
      <w:r>
        <w:t xml:space="preserve"> </w:t>
      </w:r>
      <w:r>
        <w:t xml:space="preserve">at BCNM,</w:t>
      </w:r>
      <w:r>
        <w:t xml:space="preserve"> </w:t>
      </w:r>
      <w:r>
        <w:rPr>
          <w:iCs/>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150 years (ZOF, CB), mixed growth trends probably reflect some combination of successional changes and shifting competitive advantages, perhaps in part driven by changing environmental conditions</w:t>
      </w:r>
      <w:r>
        <w:t xml:space="preserve"> </w:t>
      </w:r>
      <w:r>
        <w:t xml:space="preserve">(Furniss et al., 2017; 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S63),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Cs/>
          <w:i/>
        </w:rPr>
        <w:t xml:space="preserve">Pinus ponderosa</w:t>
      </w:r>
      <w:r>
        <w:t xml:space="preserve"> </w:t>
      </w:r>
      <w:r>
        <w:t xml:space="preserve">declined, it is possible that the primary climate drivers identified here do not capture all aspects of a strong regional warming and drying trend</w:t>
      </w:r>
      <w:r>
        <w:t xml:space="preserve"> </w:t>
      </w:r>
      <w:r>
        <w:t xml:space="preserve">(Touchan et al., 2011; Williams et al., 2013)</w:t>
      </w:r>
      <w:r>
        <w:t xml:space="preserve">.</w:t>
      </w:r>
      <w:r>
        <w:t xml:space="preserve"> </w:t>
      </w:r>
      <w:r>
        <w:t xml:space="preserve">At Scotty Creek, in northern Canada, where rapid warming and melting permafrost are altering hydraulic conditions, resulting in high mortality, growth declines, and low recruitment of</w:t>
      </w:r>
      <w:r>
        <w:t xml:space="preserve"> </w:t>
      </w:r>
      <w:r>
        <w:rPr>
          <w:iCs/>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w:t>
      </w:r>
      <w:r>
        <w:t xml:space="preserve"> </w:t>
      </w:r>
      <w:r>
        <w:t xml:space="preserve">With a few potential exceptions (</w:t>
      </w:r>
      <w:r>
        <w:rPr>
          <w:iCs/>
          <w:i/>
        </w:rPr>
        <w:t xml:space="preserve">Fagus sylvatica</w:t>
      </w:r>
      <w:r>
        <w:t xml:space="preserve"> </w:t>
      </w:r>
      <w:r>
        <w:t xml:space="preserve">at ZOF,</w:t>
      </w:r>
      <w:r>
        <w:t xml:space="preserve"> </w:t>
      </w:r>
      <w:r>
        <w:rPr>
          <w:iCs/>
          <w:i/>
        </w:rPr>
        <w:t xml:space="preserve">Picea pungens</w:t>
      </w:r>
      <w:r>
        <w:t xml:space="preserve"> </w:t>
      </w:r>
      <w:r>
        <w:t xml:space="preserve">and</w:t>
      </w:r>
      <w:r>
        <w:t xml:space="preserve"> </w:t>
      </w:r>
      <w:r>
        <w:rPr>
          <w:iCs/>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Hember et al., 2019; Voelker et al., 2006)</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52"/>
    <w:bookmarkStart w:id="53"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 (Table 1).</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4, respectively),</w:t>
      </w:r>
      <w:r>
        <w:t xml:space="preserve"> </w:t>
      </w:r>
      <w:r>
        <w:t xml:space="preserve">that growth – measured by any metric – almost universally varies with</w:t>
      </w:r>
      <w:r>
        <w:t xml:space="preserve"> </w:t>
      </w:r>
      <m:oMath>
        <m:r>
          <m:t>D</m:t>
        </m:r>
        <m:r>
          <m:t>B</m:t>
        </m:r>
        <m:r>
          <m:t>H</m:t>
        </m:r>
      </m:oMath>
      <w:r>
        <w:t xml:space="preserve"> </w:t>
      </w:r>
      <w:r>
        <w:t xml:space="preserve">(Fig. 5),</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53"/>
    <w:bookmarkEnd w:id="54"/>
    <w:bookmarkStart w:id="55"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 Nadja Rüger…</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r>
        <w:t xml:space="preserve"> </w:t>
      </w:r>
      <w:r>
        <w:t xml:space="preserve">Any use of trade, firm, or product names is for descriptive purposes only and does not imply endorsement by the U.S. Government.</w:t>
      </w:r>
    </w:p>
    <w:bookmarkEnd w:id="55"/>
    <w:bookmarkStart w:id="56"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6"/>
    <w:bookmarkStart w:id="57"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 [SCBI, … ;</w:t>
      </w:r>
      <w:r>
        <w:t xml:space="preserve"> </w:t>
      </w:r>
      <w:r>
        <w:t xml:space="preserve">Rayback et al. (2020)</w:t>
      </w:r>
      <w:r>
        <w:t xml:space="preserve">] and or the International Tree-Ring Data Bank, ITRDB (CB; …).</w:t>
      </w:r>
    </w:p>
    <w:bookmarkEnd w:id="57"/>
    <w:bookmarkStart w:id="58" w:name="Supplementary"/>
    <w:p>
      <w:pPr>
        <w:pStyle w:val="Heading1"/>
      </w:pPr>
      <w:r>
        <w:t xml:space="preserve">Supplementary files</w:t>
      </w:r>
    </w:p>
    <w:p>
      <w:pPr>
        <w:pStyle w:val="FirstParagraph"/>
      </w:pPr>
      <w:r>
        <w:t xml:space="preserve">Appendix S1. Site Details</w:t>
      </w:r>
    </w:p>
    <w:p>
      <w:pPr>
        <w:pStyle w:val="BodyText"/>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Figures S1-S10. Density plots of core record start years by species for all sites.</w:t>
      </w:r>
    </w:p>
    <w:p>
      <w:pPr>
        <w:pStyle w:val="BodyText"/>
      </w:pPr>
      <w:r>
        <w:t xml:space="preserve">Figures S11-S14. Comparison of our approach with traditional methods of identifying climate signals for four species.</w:t>
      </w:r>
    </w:p>
    <w:p>
      <w:pPr>
        <w:pStyle w:val="BodyText"/>
      </w:pPr>
      <w:r>
        <w:t xml:space="preserve">Figures S15-S34. Climwin output for water and temperature variable groups at all sites.</w:t>
      </w:r>
    </w:p>
    <w:p>
      <w:pPr>
        <w:pStyle w:val="BodyText"/>
      </w:pPr>
      <w:r>
        <w:t xml:space="preserve">Figures S35-S54. Best GLS models models excluding and including year for all sites.</w:t>
      </w:r>
    </w:p>
    <w:p>
      <w:pPr>
        <w:pStyle w:val="BodyText"/>
      </w:pPr>
      <w:r>
        <w:t xml:space="preserve">Figure S55. Climate responses at SC before and after 1970.</w:t>
      </w:r>
    </w:p>
    <w:p>
      <w:pPr>
        <w:pStyle w:val="BodyText"/>
      </w:pPr>
      <w:r>
        <w:t xml:space="preserve">Figure S56.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 S57. All signficant climate -</w:t>
      </w:r>
      <w:r>
        <w:t xml:space="preserve"> </w:t>
      </w:r>
      <m:oMath>
        <m:r>
          <m:t>D</m:t>
        </m:r>
        <m:r>
          <m:t>B</m:t>
        </m:r>
        <m:r>
          <m:t>H</m:t>
        </m:r>
      </m:oMath>
      <w:r>
        <w:t xml:space="preserve"> </w:t>
      </w:r>
      <w:r>
        <w:t xml:space="preserve">interactions with</w:t>
      </w:r>
      <w:r>
        <w:t xml:space="preserve"> </w:t>
      </w:r>
      <m:oMath>
        <m:r>
          <m:t>R</m:t>
        </m:r>
        <m:r>
          <m:t>W</m:t>
        </m:r>
      </m:oMath>
      <w:r>
        <w:t xml:space="preserve"> </w:t>
      </w:r>
      <w:r>
        <w:t xml:space="preserve">as the response metric.</w:t>
      </w:r>
    </w:p>
    <w:p>
      <w:pPr>
        <w:pStyle w:val="BodyText"/>
      </w:pPr>
      <w:r>
        <w:t xml:space="preserve">Figures S58-S67. Relationships between</w:t>
      </w:r>
      <w:r>
        <w:t xml:space="preserve"> </w:t>
      </w:r>
      <m:oMath>
        <m:r>
          <m:t>D</m:t>
        </m:r>
        <m:r>
          <m:t>B</m:t>
        </m:r>
        <m:r>
          <m:t>H</m:t>
        </m:r>
      </m:oMath>
      <w:r>
        <w:t xml:space="preserve"> </w:t>
      </w:r>
      <w:r>
        <w:t xml:space="preserve">and</w:t>
      </w:r>
      <w:r>
        <w:t xml:space="preserve"> </w:t>
      </w:r>
      <m:oMath>
        <m:r>
          <m:t>B</m:t>
        </m:r>
        <m:r>
          <m:t>A</m:t>
        </m:r>
        <m:r>
          <m:t>I</m:t>
        </m:r>
      </m:oMath>
      <w:r>
        <w:t xml:space="preserve"> </w:t>
      </w:r>
      <w:r>
        <w:t xml:space="preserve">by decade for all sites.</w:t>
      </w:r>
    </w:p>
    <w:bookmarkEnd w:id="58"/>
    <w:bookmarkStart w:id="281" w:name="References"/>
    <w:p>
      <w:pPr>
        <w:pStyle w:val="Heading1"/>
      </w:pPr>
      <w:r>
        <w:t xml:space="preserve">References</w:t>
      </w:r>
    </w:p>
    <w:bookmarkStart w:id="280" w:name="refs"/>
    <w:bookmarkStart w:id="60"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59">
        <w:r>
          <w:rPr>
            <w:rStyle w:val="Hyperlink"/>
          </w:rPr>
          <w:t xml:space="preserve">https://doi.org/10.1017/qua.2019.33</w:t>
        </w:r>
      </w:hyperlink>
    </w:p>
    <w:bookmarkEnd w:id="60"/>
    <w:bookmarkStart w:id="62"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Cs/>
          <w:i/>
        </w:rPr>
        <w:t xml:space="preserve">Trees</w:t>
      </w:r>
      <w:r>
        <w:t xml:space="preserve">,</w:t>
      </w:r>
      <w:r>
        <w:t xml:space="preserve"> </w:t>
      </w:r>
      <w:r>
        <w:rPr>
          <w:iCs/>
          <w:i/>
        </w:rPr>
        <w:t xml:space="preserve">32</w:t>
      </w:r>
      <w:r>
        <w:t xml:space="preserve">(1), 265–276.</w:t>
      </w:r>
      <w:r>
        <w:t xml:space="preserve"> </w:t>
      </w:r>
      <w:hyperlink r:id="rId61">
        <w:r>
          <w:rPr>
            <w:rStyle w:val="Hyperlink"/>
          </w:rPr>
          <w:t xml:space="preserve">https://doi.org/10.1007/s00468-017-1629-0</w:t>
        </w:r>
      </w:hyperlink>
    </w:p>
    <w:bookmarkEnd w:id="62"/>
    <w:bookmarkStart w:id="64"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63">
        <w:r>
          <w:rPr>
            <w:rStyle w:val="Hyperlink"/>
          </w:rPr>
          <w:t xml:space="preserve">https://doi.org/10.1007/s00442-017-3879-3</w:t>
        </w:r>
      </w:hyperlink>
    </w:p>
    <w:bookmarkEnd w:id="64"/>
    <w:bookmarkStart w:id="66" w:name="ref-amoroso_dendroecology_2017"/>
    <w:p>
      <w:pPr>
        <w:pStyle w:val="Bibliography"/>
      </w:pPr>
      <w:r>
        <w:t xml:space="preserve">Amoroso, M. M., Daniels, L., Baker, P. J., &amp; Camarero, J. J. (Eds.). (2017).</w:t>
      </w:r>
      <w:r>
        <w:t xml:space="preserve"> </w:t>
      </w:r>
      <w:r>
        <w:rPr>
          <w:iCs/>
          <w:i/>
        </w:rPr>
        <w:t xml:space="preserve">Dendroecology:</w:t>
      </w:r>
      <w:r>
        <w:rPr>
          <w:iCs/>
          <w:i/>
        </w:rPr>
        <w:t xml:space="preserve"> </w:t>
      </w:r>
      <w:r>
        <w:rPr>
          <w:iCs/>
          <w:i/>
        </w:rPr>
        <w:t xml:space="preserve">Tree</w:t>
      </w:r>
      <w:r>
        <w:rPr>
          <w:iCs/>
          <w:i/>
        </w:rPr>
        <w:t xml:space="preserve">-</w:t>
      </w:r>
      <w:r>
        <w:rPr>
          <w:iCs/>
          <w:i/>
        </w:rPr>
        <w:t xml:space="preserve">Ring Analyses Applied</w:t>
      </w:r>
      <w:r>
        <w:rPr>
          <w:iCs/>
          <w:i/>
        </w:rPr>
        <w:t xml:space="preserve"> </w:t>
      </w:r>
      <w:r>
        <w:rPr>
          <w:iCs/>
          <w:i/>
        </w:rPr>
        <w:t xml:space="preserve">to</w:t>
      </w:r>
      <w:r>
        <w:rPr>
          <w:iCs/>
          <w:i/>
        </w:rPr>
        <w:t xml:space="preserve"> </w:t>
      </w:r>
      <w:r>
        <w:rPr>
          <w:iCs/>
          <w:i/>
        </w:rPr>
        <w:t xml:space="preserve">Ecological Studies</w:t>
      </w:r>
      <w:r>
        <w:t xml:space="preserve">.</w:t>
      </w:r>
      <w:r>
        <w:t xml:space="preserve"> </w:t>
      </w:r>
      <w:r>
        <w:t xml:space="preserve">Springer International Publishing</w:t>
      </w:r>
      <w:r>
        <w:t xml:space="preserve">.</w:t>
      </w:r>
      <w:r>
        <w:t xml:space="preserve"> </w:t>
      </w:r>
      <w:hyperlink r:id="rId65">
        <w:r>
          <w:rPr>
            <w:rStyle w:val="Hyperlink"/>
          </w:rPr>
          <w:t xml:space="preserve">https://doi.org/10.1007/978-3-319-61669-8</w:t>
        </w:r>
      </w:hyperlink>
    </w:p>
    <w:bookmarkEnd w:id="66"/>
    <w:bookmarkStart w:id="68" w:name="ref-anderson-teixeira_forestgeo_2020"/>
    <w:p>
      <w:pPr>
        <w:pStyle w:val="Bibliography"/>
      </w:pPr>
      <w:r>
        <w:t xml:space="preserve">Anderson-Teixeira, K., Gonzalez, B., ForestGEO, McGregor, I., Gonzalez-Akre, E., RHelcoski, Herrmann, V., Kim, A. Y., Terrell, A., &amp; Camerondow35. (2020).</w:t>
      </w:r>
      <w:r>
        <w:t xml:space="preserve"> </w:t>
      </w:r>
      <w:r>
        <w:rPr>
          <w:iCs/>
          <w:i/>
        </w:rPr>
        <w:t xml:space="preserve">Forestgeo/</w:t>
      </w:r>
      <w:r>
        <w:rPr>
          <w:iCs/>
          <w:i/>
        </w:rPr>
        <w:t xml:space="preserve">Climate</w:t>
      </w:r>
      <w:r>
        <w:rPr>
          <w:iCs/>
          <w:i/>
        </w:rPr>
        <w:t xml:space="preserve">:</w:t>
      </w:r>
      <w:r>
        <w:rPr>
          <w:iCs/>
          <w:i/>
        </w:rPr>
        <w:t xml:space="preserve"> </w:t>
      </w:r>
      <w:r>
        <w:rPr>
          <w:iCs/>
          <w:i/>
        </w:rPr>
        <w:t xml:space="preserve">Initial</w:t>
      </w:r>
      <w:r>
        <w:rPr>
          <w:iCs/>
          <w:i/>
        </w:rPr>
        <w:t xml:space="preserve"> </w:t>
      </w:r>
      <w:r>
        <w:rPr>
          <w:iCs/>
          <w:i/>
        </w:rPr>
        <w:t xml:space="preserve">release</w:t>
      </w:r>
      <w:r>
        <w:t xml:space="preserve">. Zenodo.</w:t>
      </w:r>
      <w:r>
        <w:t xml:space="preserve"> </w:t>
      </w:r>
      <w:hyperlink r:id="rId67">
        <w:r>
          <w:rPr>
            <w:rStyle w:val="Hyperlink"/>
          </w:rPr>
          <w:t xml:space="preserve">https://doi.org/10.5281/ZENODO.3958215</w:t>
        </w:r>
      </w:hyperlink>
    </w:p>
    <w:bookmarkEnd w:id="68"/>
    <w:bookmarkStart w:id="70" w:name="ref-anderson-teixeira_ctfsforestgeo_2015"/>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w:t>
      </w:r>
      <w:r>
        <w:t xml:space="preserve"> </w:t>
      </w:r>
      <w:r>
        <w:t xml:space="preserve">CTFS</w:t>
      </w:r>
      <w:r>
        <w:t xml:space="preserve">-</w:t>
      </w:r>
      <w:r>
        <w:t xml:space="preserve">ForestGEO</w:t>
      </w:r>
      <w:r>
        <w:t xml:space="preserve"> </w:t>
      </w:r>
      <w:r>
        <w:t xml:space="preserve">: A worldwide network monitoring forests in an era of global change.</w:t>
      </w:r>
      <w:r>
        <w:t xml:space="preserve"> </w:t>
      </w:r>
      <w:r>
        <w:rPr>
          <w:iCs/>
          <w:i/>
        </w:rPr>
        <w:t xml:space="preserve">Global Change Biology</w:t>
      </w:r>
      <w:r>
        <w:t xml:space="preserve">,</w:t>
      </w:r>
      <w:r>
        <w:t xml:space="preserve"> </w:t>
      </w:r>
      <w:r>
        <w:rPr>
          <w:iCs/>
          <w:i/>
        </w:rPr>
        <w:t xml:space="preserve">21</w:t>
      </w:r>
      <w:r>
        <w:t xml:space="preserve">(2), 528–549.</w:t>
      </w:r>
      <w:r>
        <w:t xml:space="preserve"> </w:t>
      </w:r>
      <w:hyperlink r:id="rId69">
        <w:r>
          <w:rPr>
            <w:rStyle w:val="Hyperlink"/>
          </w:rPr>
          <w:t xml:space="preserve">https://doi.org/10.1111/gcb.12712</w:t>
        </w:r>
      </w:hyperlink>
    </w:p>
    <w:bookmarkEnd w:id="70"/>
    <w:bookmarkStart w:id="72"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Cs/>
          <w:i/>
        </w:rPr>
        <w:t xml:space="preserve">Functional Ecology</w:t>
      </w:r>
      <w:r>
        <w:t xml:space="preserve">,</w:t>
      </w:r>
      <w:r>
        <w:t xml:space="preserve"> </w:t>
      </w:r>
      <w:r>
        <w:rPr>
          <w:iCs/>
          <w:i/>
        </w:rPr>
        <w:t xml:space="preserve">29</w:t>
      </w:r>
      <w:r>
        <w:t xml:space="preserve">(12), 1587–1602.</w:t>
      </w:r>
      <w:r>
        <w:t xml:space="preserve"> </w:t>
      </w:r>
      <w:hyperlink r:id="rId71">
        <w:r>
          <w:rPr>
            <w:rStyle w:val="Hyperlink"/>
          </w:rPr>
          <w:t xml:space="preserve">https://doi.org/10.1111/1365-2435.12470</w:t>
        </w:r>
      </w:hyperlink>
    </w:p>
    <w:bookmarkEnd w:id="72"/>
    <w:bookmarkStart w:id="74"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w:t>
      </w:r>
      <w:r>
        <w:t xml:space="preserve"> </w:t>
      </w:r>
      <w:r>
        <w:t xml:space="preserve">Challenges</w:t>
      </w:r>
      <w:r>
        <w:t xml:space="preserve"> </w:t>
      </w:r>
      <w:r>
        <w:t xml:space="preserve">and opportunities for retro- and prospective insight.</w:t>
      </w:r>
      <w:r>
        <w:t xml:space="preserve"> </w:t>
      </w:r>
      <w:r>
        <w:rPr>
          <w:iCs/>
          <w:i/>
        </w:rPr>
        <w:t xml:space="preserve">Quaternary Science Reviews</w:t>
      </w:r>
      <w:r>
        <w:t xml:space="preserve">,</w:t>
      </w:r>
      <w:r>
        <w:t xml:space="preserve"> </w:t>
      </w:r>
      <w:r>
        <w:rPr>
          <w:iCs/>
          <w:i/>
        </w:rPr>
        <w:t xml:space="preserve">197</w:t>
      </w:r>
      <w:r>
        <w:t xml:space="preserve">, 1–20.</w:t>
      </w:r>
      <w:r>
        <w:t xml:space="preserve"> </w:t>
      </w:r>
      <w:hyperlink r:id="rId73">
        <w:r>
          <w:rPr>
            <w:rStyle w:val="Hyperlink"/>
          </w:rPr>
          <w:t xml:space="preserve">https://doi.org/10.1016/j.quascirev.2018.07.009</w:t>
        </w:r>
      </w:hyperlink>
    </w:p>
    <w:bookmarkEnd w:id="74"/>
    <w:bookmarkStart w:id="76" w:name="ref-babst_twentieth_2019"/>
    <w:p>
      <w:pPr>
        <w:pStyle w:val="Bibliography"/>
      </w:pPr>
      <w:r>
        <w:t xml:space="preserve">Babst, F., Bouriaud, O., Poulter, B., Trouet, V., Girardin, M. P., &amp; Frank, D. C. (2019). Twentieth century redistribution in climatic drivers of global tree growth.</w:t>
      </w:r>
      <w:r>
        <w:t xml:space="preserve"> </w:t>
      </w:r>
      <w:r>
        <w:rPr>
          <w:iCs/>
          <w:i/>
        </w:rPr>
        <w:t xml:space="preserve">Science Advances</w:t>
      </w:r>
      <w:r>
        <w:t xml:space="preserve">,</w:t>
      </w:r>
      <w:r>
        <w:t xml:space="preserve"> </w:t>
      </w:r>
      <w:r>
        <w:rPr>
          <w:iCs/>
          <w:i/>
        </w:rPr>
        <w:t xml:space="preserve">5</w:t>
      </w:r>
      <w:r>
        <w:t xml:space="preserve">(1), eaat4313.</w:t>
      </w:r>
      <w:r>
        <w:t xml:space="preserve"> </w:t>
      </w:r>
      <w:hyperlink r:id="rId75">
        <w:r>
          <w:rPr>
            <w:rStyle w:val="Hyperlink"/>
          </w:rPr>
          <w:t xml:space="preserve">https://doi.org/10.1126/sciadv.aat4313</w:t>
        </w:r>
      </w:hyperlink>
    </w:p>
    <w:bookmarkEnd w:id="76"/>
    <w:bookmarkStart w:id="77" w:name="ref-banburymorgan_global_2021"/>
    <w:p>
      <w:pPr>
        <w:pStyle w:val="Bibliography"/>
      </w:pPr>
      <w:r>
        <w:t xml:space="preserve">Banbury Morgan, B., Herrmann, V., Kunert, N., Bond-Lamberty, B., Muller-Landau, H. C., &amp; Anderson-Teixeira, K. J. (2021). Global patterns of forest autotrophic carbon fluxes.</w:t>
      </w:r>
      <w:r>
        <w:t xml:space="preserve"> </w:t>
      </w:r>
      <w:r>
        <w:rPr>
          <w:iCs/>
          <w:i/>
        </w:rPr>
        <w:t xml:space="preserve">Global Change Biology</w:t>
      </w:r>
      <w:r>
        <w:t xml:space="preserve">,</w:t>
      </w:r>
      <w:r>
        <w:t xml:space="preserve"> </w:t>
      </w:r>
      <w:r>
        <w:rPr>
          <w:iCs/>
          <w:i/>
        </w:rPr>
        <w:t xml:space="preserve">in press</w:t>
      </w:r>
      <w:r>
        <w:t xml:space="preserve">.</w:t>
      </w:r>
    </w:p>
    <w:bookmarkEnd w:id="77"/>
    <w:bookmarkStart w:id="79" w:name="ref-beedlow_importance_2013"/>
    <w:p>
      <w:pPr>
        <w:pStyle w:val="Bibliography"/>
      </w:pPr>
      <w:r>
        <w:t xml:space="preserve">Beedlow, P. A., Lee, E. H., Tingey, D. T., Waschmann, R. S., &amp; Burdick, C. A. (2013). The importance of seasonal temperature and moisture patterns on growth of</w:t>
      </w:r>
      <w:r>
        <w:t xml:space="preserve"> </w:t>
      </w:r>
      <w:r>
        <w:t xml:space="preserve">Douglas</w:t>
      </w:r>
      <w:r>
        <w:t xml:space="preserve">-fir in western</w:t>
      </w:r>
      <w:r>
        <w:t xml:space="preserve"> </w:t>
      </w:r>
      <w:r>
        <w:t xml:space="preserve">Oregon</w:t>
      </w:r>
      <w:r>
        <w:t xml:space="preserve">,</w:t>
      </w:r>
      <w:r>
        <w:t xml:space="preserve"> </w:t>
      </w:r>
      <w:r>
        <w:t xml:space="preserve">USA</w:t>
      </w:r>
      <w:r>
        <w:t xml:space="preserve">.</w:t>
      </w:r>
      <w:r>
        <w:t xml:space="preserve"> </w:t>
      </w:r>
      <w:r>
        <w:rPr>
          <w:iCs/>
          <w:i/>
        </w:rPr>
        <w:t xml:space="preserve">Agricultural and Forest Meteorology</w:t>
      </w:r>
      <w:r>
        <w:t xml:space="preserve">,</w:t>
      </w:r>
      <w:r>
        <w:t xml:space="preserve"> </w:t>
      </w:r>
      <w:r>
        <w:rPr>
          <w:iCs/>
          <w:i/>
        </w:rPr>
        <w:t xml:space="preserve">169</w:t>
      </w:r>
      <w:r>
        <w:t xml:space="preserve">, 174–185.</w:t>
      </w:r>
      <w:r>
        <w:t xml:space="preserve"> </w:t>
      </w:r>
      <w:hyperlink r:id="rId78">
        <w:r>
          <w:rPr>
            <w:rStyle w:val="Hyperlink"/>
          </w:rPr>
          <w:t xml:space="preserve">https://doi.org/10.1016/j.agrformet.2012.10.010</w:t>
        </w:r>
      </w:hyperlink>
    </w:p>
    <w:bookmarkEnd w:id="79"/>
    <w:bookmarkStart w:id="81" w:name="ref-bennett_larger_2015"/>
    <w:p>
      <w:pPr>
        <w:pStyle w:val="Bibliography"/>
      </w:pPr>
      <w:r>
        <w:t xml:space="preserve">Bennett, A. C., McDowell, N. G., Allen, C. D., &amp; Anderson-Teixeira, K. J. (2015). Larger trees suffer most during drought in forests worldwide.</w:t>
      </w:r>
      <w:r>
        <w:t xml:space="preserve"> </w:t>
      </w:r>
      <w:r>
        <w:rPr>
          <w:iCs/>
          <w:i/>
        </w:rPr>
        <w:t xml:space="preserve">Nature Plants</w:t>
      </w:r>
      <w:r>
        <w:t xml:space="preserve">,</w:t>
      </w:r>
      <w:r>
        <w:t xml:space="preserve"> </w:t>
      </w:r>
      <w:r>
        <w:rPr>
          <w:iCs/>
          <w:i/>
        </w:rPr>
        <w:t xml:space="preserve">1</w:t>
      </w:r>
      <w:r>
        <w:t xml:space="preserve">(10), 15139.</w:t>
      </w:r>
      <w:r>
        <w:t xml:space="preserve"> </w:t>
      </w:r>
      <w:hyperlink r:id="rId80">
        <w:r>
          <w:rPr>
            <w:rStyle w:val="Hyperlink"/>
          </w:rPr>
          <w:t xml:space="preserve">https://doi.org/10.1038/nplants.2015.139</w:t>
        </w:r>
      </w:hyperlink>
    </w:p>
    <w:bookmarkEnd w:id="81"/>
    <w:bookmarkStart w:id="83" w:name="ref-biondi_theorydriven_2008"/>
    <w:p>
      <w:pPr>
        <w:pStyle w:val="Bibliography"/>
      </w:pPr>
      <w:r>
        <w:t xml:space="preserve">Biondi, F., &amp; Qeadan, F. (2008). A</w:t>
      </w:r>
      <w:r>
        <w:t xml:space="preserve"> </w:t>
      </w:r>
      <w:r>
        <w:t xml:space="preserve">Theory</w:t>
      </w:r>
      <w:r>
        <w:t xml:space="preserve">-</w:t>
      </w:r>
      <w:r>
        <w:t xml:space="preserve">Driven Approach</w:t>
      </w:r>
      <w:r>
        <w:t xml:space="preserve"> </w:t>
      </w:r>
      <w:r>
        <w:t xml:space="preserve">to</w:t>
      </w:r>
      <w:r>
        <w:t xml:space="preserve"> </w:t>
      </w:r>
      <w:r>
        <w:t xml:space="preserve">Tree</w:t>
      </w:r>
      <w:r>
        <w:t xml:space="preserve">-</w:t>
      </w:r>
      <w:r>
        <w:t xml:space="preserve">Ring Standardization</w:t>
      </w:r>
      <w:r>
        <w:t xml:space="preserve">:</w:t>
      </w:r>
      <w:r>
        <w:t xml:space="preserve"> </w:t>
      </w:r>
      <w:r>
        <w:t xml:space="preserve">Defining</w:t>
      </w:r>
      <w:r>
        <w:t xml:space="preserve"> </w:t>
      </w:r>
      <w:r>
        <w:t xml:space="preserve">the</w:t>
      </w:r>
      <w:r>
        <w:t xml:space="preserve"> </w:t>
      </w:r>
      <w:r>
        <w:t xml:space="preserve">Biological Trend</w:t>
      </w:r>
      <w:r>
        <w:t xml:space="preserve"> </w:t>
      </w:r>
      <w:r>
        <w:t xml:space="preserve">from</w:t>
      </w:r>
      <w:r>
        <w:t xml:space="preserve"> </w:t>
      </w:r>
      <w:r>
        <w:t xml:space="preserve">Expected Basal Area Increment</w:t>
      </w:r>
      <w:r>
        <w:t xml:space="preserve">.</w:t>
      </w:r>
      <w:r>
        <w:t xml:space="preserve"> </w:t>
      </w:r>
      <w:r>
        <w:rPr>
          <w:iCs/>
          <w:i/>
        </w:rPr>
        <w:t xml:space="preserve">Tree-Ring Research</w:t>
      </w:r>
      <w:r>
        <w:t xml:space="preserve">,</w:t>
      </w:r>
      <w:r>
        <w:t xml:space="preserve"> </w:t>
      </w:r>
      <w:r>
        <w:rPr>
          <w:iCs/>
          <w:i/>
        </w:rPr>
        <w:t xml:space="preserve">64</w:t>
      </w:r>
      <w:r>
        <w:t xml:space="preserve">(2), 81–96.</w:t>
      </w:r>
      <w:r>
        <w:t xml:space="preserve"> </w:t>
      </w:r>
      <w:hyperlink r:id="rId82">
        <w:r>
          <w:rPr>
            <w:rStyle w:val="Hyperlink"/>
          </w:rPr>
          <w:t xml:space="preserve">https://doi.org/10.3959/2008-6.1</w:t>
        </w:r>
      </w:hyperlink>
    </w:p>
    <w:bookmarkEnd w:id="83"/>
    <w:bookmarkStart w:id="85" w:name="ref-birch_birch_2020b"/>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84">
        <w:r>
          <w:rPr>
            <w:rStyle w:val="Hyperlink"/>
          </w:rPr>
          <w:t xml:space="preserve">https://www.ncdc.noaa.gov/paleo-search/study/31995</w:t>
        </w:r>
      </w:hyperlink>
    </w:p>
    <w:bookmarkEnd w:id="85"/>
    <w:bookmarkStart w:id="87" w:name="ref-birch_birch_2020c"/>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86">
        <w:r>
          <w:rPr>
            <w:rStyle w:val="Hyperlink"/>
          </w:rPr>
          <w:t xml:space="preserve">https://www.ncdc.noaa.gov/paleo-search/study/31996</w:t>
        </w:r>
      </w:hyperlink>
    </w:p>
    <w:bookmarkEnd w:id="87"/>
    <w:bookmarkStart w:id="89" w:name="ref-birch_birch_2020"/>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88">
        <w:r>
          <w:rPr>
            <w:rStyle w:val="Hyperlink"/>
          </w:rPr>
          <w:t xml:space="preserve">https://www.ncdc.noaa.gov/paleo-search/study/31997</w:t>
        </w:r>
      </w:hyperlink>
    </w:p>
    <w:bookmarkEnd w:id="89"/>
    <w:bookmarkStart w:id="91" w:name="ref-bowman_detecting_2013"/>
    <w:p>
      <w:pPr>
        <w:pStyle w:val="Bibliography"/>
      </w:pPr>
      <w:r>
        <w:t xml:space="preserve">Bowman, D. M. J. S., Brienen, R. J. W., Gloor, E., Phillips, O. L., &amp; Prior, L. D. (2013). Detecting trends in tree growth: Not so simple.</w:t>
      </w:r>
      <w:r>
        <w:t xml:space="preserve"> </w:t>
      </w:r>
      <w:r>
        <w:rPr>
          <w:iCs/>
          <w:i/>
        </w:rPr>
        <w:t xml:space="preserve">Trends in Plant Science</w:t>
      </w:r>
      <w:r>
        <w:t xml:space="preserve">,</w:t>
      </w:r>
      <w:r>
        <w:t xml:space="preserve"> </w:t>
      </w:r>
      <w:r>
        <w:rPr>
          <w:iCs/>
          <w:i/>
        </w:rPr>
        <w:t xml:space="preserve">18</w:t>
      </w:r>
      <w:r>
        <w:t xml:space="preserve">(1), 11–17.</w:t>
      </w:r>
      <w:r>
        <w:t xml:space="preserve"> </w:t>
      </w:r>
      <w:hyperlink r:id="rId90">
        <w:r>
          <w:rPr>
            <w:rStyle w:val="Hyperlink"/>
          </w:rPr>
          <w:t xml:space="preserve">https://doi.org/10.1016/j.tplants.2012.08.005</w:t>
        </w:r>
      </w:hyperlink>
    </w:p>
    <w:bookmarkEnd w:id="91"/>
    <w:bookmarkStart w:id="93" w:name="ref-braker_measuring_2002"/>
    <w:p>
      <w:pPr>
        <w:pStyle w:val="Bibliography"/>
      </w:pPr>
      <w:r>
        <w:t xml:space="preserve">Bräker, O. U. (2002). Measuring and data processing in tree-ring research</w:t>
      </w:r>
      <w:r>
        <w:t xml:space="preserve"> </w:t>
      </w:r>
      <w:r>
        <w:t xml:space="preserve"> </w:t>
      </w:r>
      <w:r>
        <w:t xml:space="preserve">a methodological introduction.</w:t>
      </w:r>
      <w:r>
        <w:t xml:space="preserve"> </w:t>
      </w:r>
      <w:r>
        <w:rPr>
          <w:iCs/>
          <w:i/>
        </w:rPr>
        <w:t xml:space="preserve">Dendrochronologia</w:t>
      </w:r>
      <w:r>
        <w:t xml:space="preserve">,</w:t>
      </w:r>
      <w:r>
        <w:t xml:space="preserve"> </w:t>
      </w:r>
      <w:r>
        <w:rPr>
          <w:iCs/>
          <w:i/>
        </w:rPr>
        <w:t xml:space="preserve">20</w:t>
      </w:r>
      <w:r>
        <w:t xml:space="preserve">(1), 203–216.</w:t>
      </w:r>
      <w:r>
        <w:t xml:space="preserve"> </w:t>
      </w:r>
      <w:hyperlink r:id="rId92">
        <w:r>
          <w:rPr>
            <w:rStyle w:val="Hyperlink"/>
          </w:rPr>
          <w:t xml:space="preserve">https://doi.org/10.1078/1125-7865-00017</w:t>
        </w:r>
      </w:hyperlink>
    </w:p>
    <w:bookmarkEnd w:id="93"/>
    <w:bookmarkStart w:id="95" w:name="ref-brienen_detecting_2012"/>
    <w:p>
      <w:pPr>
        <w:pStyle w:val="Bibliography"/>
      </w:pPr>
      <w:r>
        <w:t xml:space="preserve">Brienen, R. J. W., Gloor, E., &amp; Zuidema, P. A. (2012). Detecting evidence for</w:t>
      </w:r>
      <w:r>
        <w:t xml:space="preserve"> </w:t>
      </w:r>
      <w:r>
        <w:t xml:space="preserve">CO</w:t>
      </w:r>
      <w:r>
        <w:t xml:space="preserve"> </w:t>
      </w:r>
      <w:r>
        <w:rPr>
          <w:vertAlign w:val="subscript"/>
        </w:rPr>
        <w:t xml:space="preserve">2</w:t>
      </w:r>
      <w:r>
        <w:t xml:space="preserve"> </w:t>
      </w:r>
      <w:r>
        <w:t xml:space="preserve">fertilization from tree ring studies:</w:t>
      </w:r>
      <w:r>
        <w:t xml:space="preserve"> </w:t>
      </w:r>
      <w:r>
        <w:t xml:space="preserve">The</w:t>
      </w:r>
      <w:r>
        <w:t xml:space="preserve"> </w:t>
      </w:r>
      <w:r>
        <w:t xml:space="preserve">potential role of sampling biases:</w:t>
      </w:r>
      <w:r>
        <w:t xml:space="preserve"> </w:t>
      </w:r>
      <w:r>
        <w:t xml:space="preserve">CO</w:t>
      </w:r>
      <w:r>
        <w:t xml:space="preserve"> </w:t>
      </w:r>
      <w:r>
        <w:rPr>
          <w:vertAlign w:val="subscript"/>
        </w:rPr>
        <w:t xml:space="preserve">2</w:t>
      </w:r>
      <w:r>
        <w:t xml:space="preserve"> </w:t>
      </w:r>
      <w:r>
        <w:t xml:space="preserve">FERTILIZATION FROM TREE RINGS</w:t>
      </w:r>
      <w:r>
        <w:t xml:space="preserve">.</w:t>
      </w:r>
      <w:r>
        <w:t xml:space="preserve"> </w:t>
      </w:r>
      <w:r>
        <w:rPr>
          <w:iCs/>
          <w:i/>
        </w:rPr>
        <w:t xml:space="preserve">Global Biogeochemical Cycles</w:t>
      </w:r>
      <w:r>
        <w:t xml:space="preserve">,</w:t>
      </w:r>
      <w:r>
        <w:t xml:space="preserve"> </w:t>
      </w:r>
      <w:r>
        <w:rPr>
          <w:iCs/>
          <w:i/>
        </w:rPr>
        <w:t xml:space="preserve">26</w:t>
      </w:r>
      <w:r>
        <w:t xml:space="preserve">(1), n/a–n/a.</w:t>
      </w:r>
      <w:r>
        <w:t xml:space="preserve"> </w:t>
      </w:r>
      <w:hyperlink r:id="rId94">
        <w:r>
          <w:rPr>
            <w:rStyle w:val="Hyperlink"/>
          </w:rPr>
          <w:t xml:space="preserve">https://doi.org/10.1029/2011GB004143</w:t>
        </w:r>
      </w:hyperlink>
    </w:p>
    <w:bookmarkEnd w:id="95"/>
    <w:bookmarkStart w:id="97" w:name="ref-brienen_tree_2017"/>
    <w:p>
      <w:pPr>
        <w:pStyle w:val="Bibliography"/>
      </w:pPr>
      <w:r>
        <w:t xml:space="preserve">Brienen, R. J. W., Gloor, M., &amp; Ziv, G. (2017). Tree demography dominates long-term growth trends inferred from tree rings.</w:t>
      </w:r>
      <w:r>
        <w:t xml:space="preserve"> </w:t>
      </w:r>
      <w:r>
        <w:rPr>
          <w:iCs/>
          <w:i/>
        </w:rPr>
        <w:t xml:space="preserve">Global Change Biology</w:t>
      </w:r>
      <w:r>
        <w:t xml:space="preserve">,</w:t>
      </w:r>
      <w:r>
        <w:t xml:space="preserve"> </w:t>
      </w:r>
      <w:r>
        <w:rPr>
          <w:iCs/>
          <w:i/>
        </w:rPr>
        <w:t xml:space="preserve">23</w:t>
      </w:r>
      <w:r>
        <w:t xml:space="preserve">(2), 474–484.</w:t>
      </w:r>
      <w:r>
        <w:t xml:space="preserve"> </w:t>
      </w:r>
      <w:hyperlink r:id="rId96">
        <w:r>
          <w:rPr>
            <w:rStyle w:val="Hyperlink"/>
          </w:rPr>
          <w:t xml:space="preserve">https://doi.org/10.1111/gcb.13410</w:t>
        </w:r>
      </w:hyperlink>
    </w:p>
    <w:bookmarkEnd w:id="97"/>
    <w:bookmarkStart w:id="99"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98">
        <w:r>
          <w:rPr>
            <w:rStyle w:val="Hyperlink"/>
          </w:rPr>
          <w:t xml:space="preserve">https://doi.org/10.1139/cjfr-2018-0206</w:t>
        </w:r>
      </w:hyperlink>
    </w:p>
    <w:bookmarkEnd w:id="99"/>
    <w:bookmarkStart w:id="101" w:name="ref-buntgen_2500_2011"/>
    <w:p>
      <w:pPr>
        <w:pStyle w:val="Bibliography"/>
      </w:pPr>
      <w:r>
        <w:t xml:space="preserve">Buntgen, U., Tegel, W., Nicolussi, K., McCormick, M., Frank, D., Trouet, V., Kaplan, J. O., Herzig, F., Heussner, K.-U., Wanner, H., Luterbacher, J., &amp; Esper, J. (2011). 2500</w:t>
      </w:r>
      <w:r>
        <w:t xml:space="preserve"> </w:t>
      </w:r>
      <w:r>
        <w:t xml:space="preserve">Years</w:t>
      </w:r>
      <w:r>
        <w:t xml:space="preserve"> </w:t>
      </w:r>
      <w:r>
        <w:t xml:space="preserve">of</w:t>
      </w:r>
      <w:r>
        <w:t xml:space="preserve"> </w:t>
      </w:r>
      <w:r>
        <w:t xml:space="preserve">European Climate Variability</w:t>
      </w:r>
      <w:r>
        <w:t xml:space="preserve"> </w:t>
      </w:r>
      <w:r>
        <w:t xml:space="preserve">and</w:t>
      </w:r>
      <w:r>
        <w:t xml:space="preserve"> </w:t>
      </w:r>
      <w:r>
        <w:t xml:space="preserve">Human Susceptibility</w:t>
      </w:r>
      <w:r>
        <w:t xml:space="preserve">.</w:t>
      </w:r>
      <w:r>
        <w:t xml:space="preserve"> </w:t>
      </w:r>
      <w:r>
        <w:rPr>
          <w:iCs/>
          <w:i/>
        </w:rPr>
        <w:t xml:space="preserve">Science</w:t>
      </w:r>
      <w:r>
        <w:t xml:space="preserve">,</w:t>
      </w:r>
      <w:r>
        <w:t xml:space="preserve"> </w:t>
      </w:r>
      <w:r>
        <w:rPr>
          <w:iCs/>
          <w:i/>
        </w:rPr>
        <w:t xml:space="preserve">331</w:t>
      </w:r>
      <w:r>
        <w:t xml:space="preserve">(6017), 578–582.</w:t>
      </w:r>
      <w:r>
        <w:t xml:space="preserve"> </w:t>
      </w:r>
      <w:hyperlink r:id="rId100">
        <w:r>
          <w:rPr>
            <w:rStyle w:val="Hyperlink"/>
          </w:rPr>
          <w:t xml:space="preserve">https://doi.org/10.1126/science.1197175</w:t>
        </w:r>
      </w:hyperlink>
    </w:p>
    <w:bookmarkEnd w:id="101"/>
    <w:bookmarkStart w:id="10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Cs/>
          <w:i/>
        </w:rPr>
        <w:t xml:space="preserve">Global Change Biology</w:t>
      </w:r>
      <w:r>
        <w:t xml:space="preserve">,</w:t>
      </w:r>
      <w:r>
        <w:t xml:space="preserve"> </w:t>
      </w:r>
      <w:r>
        <w:rPr>
          <w:iCs/>
          <w:i/>
        </w:rPr>
        <w:t xml:space="preserve">23</w:t>
      </w:r>
      <w:r>
        <w:t xml:space="preserve">(4), 1675–1690.</w:t>
      </w:r>
      <w:r>
        <w:t xml:space="preserve"> </w:t>
      </w:r>
      <w:hyperlink r:id="rId102">
        <w:r>
          <w:rPr>
            <w:rStyle w:val="Hyperlink"/>
          </w:rPr>
          <w:t xml:space="preserve">https://doi.org/10.1111/gcb.13535</w:t>
        </w:r>
      </w:hyperlink>
    </w:p>
    <w:bookmarkEnd w:id="103"/>
    <w:bookmarkStart w:id="105" w:name="ref-cavin_highest_2017"/>
    <w:p>
      <w:pPr>
        <w:pStyle w:val="Bibliography"/>
      </w:pPr>
      <w:r>
        <w:t xml:space="preserve">Cavin, L., &amp; Jump, A. S. (2017). Highest drought sensitivity and lowest resistance to growth suppression are found in the range core of the tree</w:t>
      </w:r>
      <w:r>
        <w:t xml:space="preserve"> </w:t>
      </w:r>
      <w:r>
        <w:t xml:space="preserve">Fagus</w:t>
      </w:r>
      <w:r>
        <w:t xml:space="preserve"> </w:t>
      </w:r>
      <w:r>
        <w:t xml:space="preserve">sylvatica</w:t>
      </w:r>
      <w:r>
        <w:t xml:space="preserve"> </w:t>
      </w:r>
      <w:r>
        <w:t xml:space="preserve">L</w:t>
      </w:r>
      <w:r>
        <w:t xml:space="preserve">. Not the equatorial range edge.</w:t>
      </w:r>
      <w:r>
        <w:t xml:space="preserve"> </w:t>
      </w:r>
      <w:r>
        <w:rPr>
          <w:iCs/>
          <w:i/>
        </w:rPr>
        <w:t xml:space="preserve">Global Change Biology</w:t>
      </w:r>
      <w:r>
        <w:t xml:space="preserve">,</w:t>
      </w:r>
      <w:r>
        <w:t xml:space="preserve"> </w:t>
      </w:r>
      <w:r>
        <w:rPr>
          <w:iCs/>
          <w:i/>
        </w:rPr>
        <w:t xml:space="preserve">23</w:t>
      </w:r>
      <w:r>
        <w:t xml:space="preserve">(1), 362–379.</w:t>
      </w:r>
      <w:r>
        <w:t xml:space="preserve"> </w:t>
      </w:r>
      <w:hyperlink r:id="rId104">
        <w:r>
          <w:rPr>
            <w:rStyle w:val="Hyperlink"/>
          </w:rPr>
          <w:t xml:space="preserve">https://doi.org/10.1111/gcb.13366</w:t>
        </w:r>
      </w:hyperlink>
    </w:p>
    <w:bookmarkEnd w:id="105"/>
    <w:bookmarkStart w:id="107"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6">
        <w:r>
          <w:rPr>
            <w:rStyle w:val="Hyperlink"/>
          </w:rPr>
          <w:t xml:space="preserve">https://doi.org/10.1111/ele.12650</w:t>
        </w:r>
      </w:hyperlink>
    </w:p>
    <w:bookmarkEnd w:id="107"/>
    <w:bookmarkStart w:id="109" w:name="ref-cherubini_potential_1998"/>
    <w:p>
      <w:pPr>
        <w:pStyle w:val="Bibliography"/>
      </w:pPr>
      <w:r>
        <w:t xml:space="preserve">Cherubini, P., Dobbertin, M., &amp; Innes, J. L. (1998). Potential sampling bias in long-term forest growth trends reconstructed from tree rings:</w:t>
      </w:r>
      <w:r>
        <w:t xml:space="preserve"> </w:t>
      </w:r>
      <w:r>
        <w:t xml:space="preserve">A</w:t>
      </w:r>
      <w:r>
        <w:t xml:space="preserve"> </w:t>
      </w:r>
      <w:r>
        <w:t xml:space="preserve">case study from the</w:t>
      </w:r>
      <w:r>
        <w:t xml:space="preserve"> </w:t>
      </w:r>
      <w:r>
        <w:t xml:space="preserve">Italian Alps</w:t>
      </w:r>
      <w:r>
        <w:t xml:space="preserve">.</w:t>
      </w:r>
      <w:r>
        <w:t xml:space="preserve"> </w:t>
      </w:r>
      <w:r>
        <w:rPr>
          <w:iCs/>
          <w:i/>
        </w:rPr>
        <w:t xml:space="preserve">Forest Ecology and Management</w:t>
      </w:r>
      <w:r>
        <w:t xml:space="preserve">,</w:t>
      </w:r>
      <w:r>
        <w:t xml:space="preserve"> </w:t>
      </w:r>
      <w:r>
        <w:rPr>
          <w:iCs/>
          <w:i/>
        </w:rPr>
        <w:t xml:space="preserve">109</w:t>
      </w:r>
      <w:r>
        <w:t xml:space="preserve">(1), 103–118.</w:t>
      </w:r>
      <w:r>
        <w:t xml:space="preserve"> </w:t>
      </w:r>
      <w:hyperlink r:id="rId108">
        <w:r>
          <w:rPr>
            <w:rStyle w:val="Hyperlink"/>
          </w:rPr>
          <w:t xml:space="preserve">https://doi.org/10.1016/S0378-1127(98)00242-4</w:t>
        </w:r>
      </w:hyperlink>
    </w:p>
    <w:bookmarkEnd w:id="109"/>
    <w:bookmarkStart w:id="111" w:name="ref-cook_climate_1989"/>
    <w:p>
      <w:pPr>
        <w:pStyle w:val="Bibliography"/>
      </w:pPr>
      <w:r>
        <w:t xml:space="preserve">Cook, E. R., &amp; Johnson, ArthurH. (1989). Climate change and forest decline:</w:t>
      </w:r>
      <w:r>
        <w:t xml:space="preserve"> </w:t>
      </w:r>
      <w:r>
        <w:t xml:space="preserve">A</w:t>
      </w:r>
      <w:r>
        <w:t xml:space="preserve"> </w:t>
      </w:r>
      <w:r>
        <w:t xml:space="preserve">review of the red spruce case.</w:t>
      </w:r>
      <w:r>
        <w:t xml:space="preserve"> </w:t>
      </w:r>
      <w:r>
        <w:rPr>
          <w:iCs/>
          <w:i/>
        </w:rPr>
        <w:t xml:space="preserve">Water, Air, and Soil Pollution</w:t>
      </w:r>
      <w:r>
        <w:t xml:space="preserve">,</w:t>
      </w:r>
      <w:r>
        <w:t xml:space="preserve"> </w:t>
      </w:r>
      <w:r>
        <w:rPr>
          <w:iCs/>
          <w:i/>
        </w:rPr>
        <w:t xml:space="preserve">48</w:t>
      </w:r>
      <w:r>
        <w:t xml:space="preserve">(1-2).</w:t>
      </w:r>
      <w:r>
        <w:t xml:space="preserve"> </w:t>
      </w:r>
      <w:hyperlink r:id="rId110">
        <w:r>
          <w:rPr>
            <w:rStyle w:val="Hyperlink"/>
          </w:rPr>
          <w:t xml:space="preserve">https://doi.org/10.1007/BF00282374</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w:t>
      </w:r>
      <w:r>
        <w:t xml:space="preserve"> </w:t>
      </w:r>
      <w:r>
        <w:t xml:space="preserve">ForestGEO</w:t>
      </w:r>
      <w:r>
        <w:t xml:space="preserve">:</w:t>
      </w:r>
      <w:r>
        <w:t xml:space="preserve"> </w:t>
      </w:r>
      <w:r>
        <w:t xml:space="preserve">Understanding</w:t>
      </w:r>
      <w:r>
        <w:t xml:space="preserve"> </w:t>
      </w:r>
      <w:r>
        <w:t xml:space="preserve">forest diversity and dynamics through a global observatory network.</w:t>
      </w:r>
      <w:r>
        <w:t xml:space="preserve"> </w:t>
      </w:r>
      <w:r>
        <w:rPr>
          <w:iCs/>
          <w:i/>
        </w:rPr>
        <w:t xml:space="preserve">Biological Conservation</w:t>
      </w:r>
      <w:r>
        <w:t xml:space="preserve">,</w:t>
      </w:r>
      <w:r>
        <w:t xml:space="preserve"> </w:t>
      </w:r>
      <w:r>
        <w:rPr>
          <w:iCs/>
          <w:i/>
        </w:rPr>
        <w:t xml:space="preserve">253</w:t>
      </w:r>
      <w:r>
        <w:t xml:space="preserve">, 108907.</w:t>
      </w:r>
      <w:r>
        <w:t xml:space="preserve"> </w:t>
      </w:r>
      <w:hyperlink r:id="rId114">
        <w:r>
          <w:rPr>
            <w:rStyle w:val="Hyperlink"/>
          </w:rPr>
          <w:t xml:space="preserve">https://doi.org/10.1016/j.biocon.2020.108907</w:t>
        </w:r>
      </w:hyperlink>
    </w:p>
    <w:bookmarkEnd w:id="115"/>
    <w:bookmarkStart w:id="117" w:name="ref-davis_forest_2009"/>
    <w:p>
      <w:pPr>
        <w:pStyle w:val="Bibliography"/>
      </w:pPr>
      <w:r>
        <w:t xml:space="preserve">Davis, S. C., Hessl, A. E., Scott, C. J., Adams, M. B., &amp; Thomas, R. B. (2009). Forest carbon sequestration changes in response to timber harvest.</w:t>
      </w:r>
      <w:r>
        <w:t xml:space="preserve"> </w:t>
      </w:r>
      <w:r>
        <w:rPr>
          <w:iCs/>
          <w:i/>
        </w:rPr>
        <w:t xml:space="preserve">Forest Ecology and Management</w:t>
      </w:r>
      <w:r>
        <w:t xml:space="preserve">,</w:t>
      </w:r>
      <w:r>
        <w:t xml:space="preserve"> </w:t>
      </w:r>
      <w:r>
        <w:rPr>
          <w:iCs/>
          <w:i/>
        </w:rPr>
        <w:t xml:space="preserve">258</w:t>
      </w:r>
      <w:r>
        <w:t xml:space="preserve">(9), 2101–2109.</w:t>
      </w:r>
      <w:r>
        <w:t xml:space="preserve"> </w:t>
      </w:r>
      <w:hyperlink r:id="rId116">
        <w:r>
          <w:rPr>
            <w:rStyle w:val="Hyperlink"/>
          </w:rPr>
          <w:t xml:space="preserve">https://doi.org/10.1016/j.foreco.2009.08.009</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Cs/>
          <w:i/>
        </w:rPr>
        <w:t xml:space="preserve">Nature Communications</w:t>
      </w:r>
      <w:r>
        <w:t xml:space="preserve">,</w:t>
      </w:r>
      <w:r>
        <w:t xml:space="preserve"> </w:t>
      </w:r>
      <w:r>
        <w:rPr>
          <w:iCs/>
          <w:i/>
        </w:rPr>
        <w:t xml:space="preserve">11</w:t>
      </w:r>
      <w:r>
        <w:t xml:space="preserve">(1).</w:t>
      </w:r>
      <w:r>
        <w:t xml:space="preserve"> </w:t>
      </w:r>
      <w:hyperlink r:id="rId120">
        <w:r>
          <w:rPr>
            <w:rStyle w:val="Hyperlink"/>
          </w:rPr>
          <w:t xml:space="preserve">https://doi.org/10.1038/s41467-020-14300-5</w:t>
        </w:r>
      </w:hyperlink>
    </w:p>
    <w:bookmarkEnd w:id="121"/>
    <w:bookmarkStart w:id="123"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2">
        <w:r>
          <w:rPr>
            <w:rStyle w:val="Hyperlink"/>
          </w:rPr>
          <w:t xml:space="preserve">https://doi.org/10.1002/ecs2.1454</w:t>
        </w:r>
      </w:hyperlink>
    </w:p>
    <w:bookmarkEnd w:id="123"/>
    <w:bookmarkStart w:id="125" w:name="ref-elling_dendroecological_2009"/>
    <w:p>
      <w:pPr>
        <w:pStyle w:val="Bibliography"/>
      </w:pPr>
      <w:r>
        <w:t xml:space="preserve">Elling, W., Dittmar, C., Pfaffelmoser, K., &amp; Rötzer, T. (2009). Dendroecological assessment of the complex causes of decline and recovery of the growth of silver fir (</w:t>
      </w:r>
      <w:r>
        <w:t xml:space="preserve">Abies</w:t>
      </w:r>
      <w:r>
        <w:t xml:space="preserve"> </w:t>
      </w:r>
      <w:r>
        <w:t xml:space="preserve">alba</w:t>
      </w:r>
      <w:r>
        <w:t xml:space="preserve"> </w:t>
      </w:r>
      <w:r>
        <w:t xml:space="preserve">Mill</w:t>
      </w:r>
      <w:r>
        <w:t xml:space="preserve">.) In</w:t>
      </w:r>
      <w:r>
        <w:t xml:space="preserve"> </w:t>
      </w:r>
      <w:r>
        <w:t xml:space="preserve">Southern Germany</w:t>
      </w:r>
      <w:r>
        <w:t xml:space="preserve">.</w:t>
      </w:r>
      <w:r>
        <w:t xml:space="preserve"> </w:t>
      </w:r>
      <w:r>
        <w:rPr>
          <w:iCs/>
          <w:i/>
        </w:rPr>
        <w:t xml:space="preserve">Forest Ecology and Management</w:t>
      </w:r>
      <w:r>
        <w:t xml:space="preserve">,</w:t>
      </w:r>
      <w:r>
        <w:t xml:space="preserve"> </w:t>
      </w:r>
      <w:r>
        <w:rPr>
          <w:iCs/>
          <w:i/>
        </w:rPr>
        <w:t xml:space="preserve">257</w:t>
      </w:r>
      <w:r>
        <w:t xml:space="preserve">(4), 1175–1187.</w:t>
      </w:r>
      <w:r>
        <w:t xml:space="preserve"> </w:t>
      </w:r>
      <w:hyperlink r:id="rId124">
        <w:r>
          <w:rPr>
            <w:rStyle w:val="Hyperlink"/>
          </w:rPr>
          <w:t xml:space="preserve">https://doi.org/10.1016/j.foreco.2008.10.014</w:t>
        </w:r>
      </w:hyperlink>
    </w:p>
    <w:bookmarkEnd w:id="125"/>
    <w:bookmarkStart w:id="127" w:name="ref-enquist_global_2002"/>
    <w:p>
      <w:pPr>
        <w:pStyle w:val="Bibliography"/>
      </w:pPr>
      <w:r>
        <w:t xml:space="preserve">Enquist, B. J., &amp; Niklas, K. J. (2002). Global</w:t>
      </w:r>
      <w:r>
        <w:t xml:space="preserve"> </w:t>
      </w:r>
      <w:r>
        <w:t xml:space="preserve">Allocation Rules</w:t>
      </w:r>
      <w:r>
        <w:t xml:space="preserve"> </w:t>
      </w:r>
      <w:r>
        <w:t xml:space="preserve">for</w:t>
      </w:r>
      <w:r>
        <w:t xml:space="preserve"> </w:t>
      </w:r>
      <w:r>
        <w:t xml:space="preserve">Patterns</w:t>
      </w:r>
      <w:r>
        <w:t xml:space="preserve"> </w:t>
      </w:r>
      <w:r>
        <w:t xml:space="preserve">of</w:t>
      </w:r>
      <w:r>
        <w:t xml:space="preserve"> </w:t>
      </w:r>
      <w:r>
        <w:t xml:space="preserve">Biomass Partitioning</w:t>
      </w:r>
      <w:r>
        <w:t xml:space="preserve"> </w:t>
      </w:r>
      <w:r>
        <w:t xml:space="preserve">in</w:t>
      </w:r>
      <w:r>
        <w:t xml:space="preserve"> </w:t>
      </w:r>
      <w:r>
        <w:t xml:space="preserve">Seed Plants</w:t>
      </w:r>
      <w:r>
        <w:t xml:space="preserve">.</w:t>
      </w:r>
      <w:r>
        <w:t xml:space="preserve"> </w:t>
      </w:r>
      <w:r>
        <w:rPr>
          <w:iCs/>
          <w:i/>
        </w:rPr>
        <w:t xml:space="preserve">Science</w:t>
      </w:r>
      <w:r>
        <w:t xml:space="preserve">,</w:t>
      </w:r>
      <w:r>
        <w:t xml:space="preserve"> </w:t>
      </w:r>
      <w:r>
        <w:rPr>
          <w:iCs/>
          <w:i/>
        </w:rPr>
        <w:t xml:space="preserve">295</w:t>
      </w:r>
      <w:r>
        <w:t xml:space="preserve">(5559), 1517–1520.</w:t>
      </w:r>
      <w:r>
        <w:t xml:space="preserve"> </w:t>
      </w:r>
      <w:hyperlink r:id="rId126">
        <w:r>
          <w:rPr>
            <w:rStyle w:val="Hyperlink"/>
          </w:rPr>
          <w:t xml:space="preserve">https://doi.org/10.1126/science.1066360</w:t>
        </w:r>
      </w:hyperlink>
    </w:p>
    <w:bookmarkEnd w:id="127"/>
    <w:bookmarkStart w:id="129" w:name="ref-esper_divergence_2009"/>
    <w:p>
      <w:pPr>
        <w:pStyle w:val="Bibliography"/>
      </w:pPr>
      <w:r>
        <w:t xml:space="preserve">Esper, J., &amp; Frank, D. (2009). Divergence pitfalls in tree-ring research.</w:t>
      </w:r>
      <w:r>
        <w:t xml:space="preserve"> </w:t>
      </w:r>
      <w:r>
        <w:rPr>
          <w:iCs/>
          <w:i/>
        </w:rPr>
        <w:t xml:space="preserve">Climatic Change</w:t>
      </w:r>
      <w:r>
        <w:t xml:space="preserve">,</w:t>
      </w:r>
      <w:r>
        <w:t xml:space="preserve"> </w:t>
      </w:r>
      <w:r>
        <w:rPr>
          <w:iCs/>
          <w:i/>
        </w:rPr>
        <w:t xml:space="preserve">94</w:t>
      </w:r>
      <w:r>
        <w:t xml:space="preserve">(3-4), 261–266.</w:t>
      </w:r>
      <w:r>
        <w:t xml:space="preserve"> </w:t>
      </w:r>
      <w:hyperlink r:id="rId128">
        <w:r>
          <w:rPr>
            <w:rStyle w:val="Hyperlink"/>
          </w:rPr>
          <w:t xml:space="preserve">https://doi.org/10.1007/s10584-009-9594-2</w:t>
        </w:r>
      </w:hyperlink>
    </w:p>
    <w:bookmarkEnd w:id="129"/>
    <w:bookmarkStart w:id="131"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Cs/>
          <w:i/>
        </w:rPr>
        <w:t xml:space="preserve">Ecosphere</w:t>
      </w:r>
      <w:r>
        <w:t xml:space="preserve">,</w:t>
      </w:r>
      <w:r>
        <w:t xml:space="preserve"> </w:t>
      </w:r>
      <w:r>
        <w:rPr>
          <w:iCs/>
          <w:i/>
        </w:rPr>
        <w:t xml:space="preserve">8</w:t>
      </w:r>
      <w:r>
        <w:t xml:space="preserve">(7), e01889.</w:t>
      </w:r>
      <w:r>
        <w:t xml:space="preserve"> </w:t>
      </w:r>
      <w:hyperlink r:id="rId130">
        <w:r>
          <w:rPr>
            <w:rStyle w:val="Hyperlink"/>
          </w:rPr>
          <w:t xml:space="preserve">https://doi.org/10.1002/ecs2.1889</w:t>
        </w:r>
      </w:hyperlink>
    </w:p>
    <w:bookmarkEnd w:id="131"/>
    <w:bookmarkStart w:id="133"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32">
        <w:r>
          <w:rPr>
            <w:rStyle w:val="Hyperlink"/>
          </w:rPr>
          <w:t xml:space="preserve">https://doi.org/10.1002/ecm.1423</w:t>
        </w:r>
      </w:hyperlink>
    </w:p>
    <w:bookmarkEnd w:id="133"/>
    <w:bookmarkStart w:id="135" w:name="ref-forrester_does_2021"/>
    <w:p>
      <w:pPr>
        <w:pStyle w:val="Bibliography"/>
      </w:pPr>
      <w:r>
        <w:t xml:space="preserve">Forrester, D. I. (2021). Does individual-tree biomass growth increase continuously with tree size?</w:t>
      </w:r>
      <w:r>
        <w:t xml:space="preserve"> </w:t>
      </w:r>
      <w:r>
        <w:rPr>
          <w:iCs/>
          <w:i/>
        </w:rPr>
        <w:t xml:space="preserve">Forest Ecology and Management</w:t>
      </w:r>
      <w:r>
        <w:t xml:space="preserve">,</w:t>
      </w:r>
      <w:r>
        <w:t xml:space="preserve"> </w:t>
      </w:r>
      <w:r>
        <w:rPr>
          <w:iCs/>
          <w:i/>
        </w:rPr>
        <w:t xml:space="preserve">481</w:t>
      </w:r>
      <w:r>
        <w:t xml:space="preserve">, 118717.</w:t>
      </w:r>
      <w:r>
        <w:t xml:space="preserve"> </w:t>
      </w:r>
      <w:hyperlink r:id="rId134">
        <w:r>
          <w:rPr>
            <w:rStyle w:val="Hyperlink"/>
          </w:rPr>
          <w:t xml:space="preserve">https://doi.org/10.1016/j.foreco.2020.118717</w:t>
        </w:r>
      </w:hyperlink>
    </w:p>
    <w:bookmarkEnd w:id="135"/>
    <w:bookmarkStart w:id="137" w:name="ref-foster_predicting_2016"/>
    <w:p>
      <w:pPr>
        <w:pStyle w:val="Bibliography"/>
      </w:pPr>
      <w:r>
        <w:t xml:space="preserve">Foster, J. R., Finley, A. O., D’Amato, A. W., Bradford, J. B., &amp; Banerjee, S. (2016). Predicting tree biomass growth in the temperate</w:t>
      </w:r>
      <w:r>
        <w:t xml:space="preserve">boreal ecotone:</w:t>
      </w:r>
      <w:r>
        <w:t xml:space="preserve"> </w:t>
      </w:r>
      <w:r>
        <w:t xml:space="preserve">Is</w:t>
      </w:r>
      <w:r>
        <w:t xml:space="preserve"> </w:t>
      </w:r>
      <w:r>
        <w:t xml:space="preserve">tree size, age, competition, or climate response most important?</w:t>
      </w:r>
      <w:r>
        <w:t xml:space="preserve"> </w:t>
      </w:r>
      <w:r>
        <w:rPr>
          <w:iCs/>
          <w:i/>
        </w:rPr>
        <w:t xml:space="preserve">Global Change Biology</w:t>
      </w:r>
      <w:r>
        <w:t xml:space="preserve">,</w:t>
      </w:r>
      <w:r>
        <w:t xml:space="preserve"> </w:t>
      </w:r>
      <w:r>
        <w:rPr>
          <w:iCs/>
          <w:i/>
        </w:rPr>
        <w:t xml:space="preserve">22</w:t>
      </w:r>
      <w:r>
        <w:t xml:space="preserve">(6), 2138–2151.</w:t>
      </w:r>
      <w:r>
        <w:t xml:space="preserve"> </w:t>
      </w:r>
      <w:hyperlink r:id="rId136">
        <w:r>
          <w:rPr>
            <w:rStyle w:val="Hyperlink"/>
          </w:rPr>
          <w:t xml:space="preserve">https://doi.org/10.1111/gcb.13208</w:t>
        </w:r>
      </w:hyperlink>
    </w:p>
    <w:bookmarkEnd w:id="137"/>
    <w:bookmarkStart w:id="139" w:name="ref-friedlingstein_climate_2006"/>
    <w:p>
      <w:pPr>
        <w:pStyle w:val="Bibliography"/>
      </w:pPr>
      <w:r>
        <w:t xml:space="preserve">Friedlingstein, P., Cox, P., Betts, R., Bopp, L., von Bloh, W., Brovkin, V., Cadule, P., Doney, S., Eby, M., Fung, I., Bala, G., John, J., Jones, C., Joos, F., Kato, T., Kawamiya, M., Knorr, W., Lindsay, K., Matthews, H. D., … Zeng, N. (2006).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w:t>
      </w:r>
      <w:r>
        <w:t xml:space="preserve"> </w:t>
      </w:r>
      <w:r>
        <w:rPr>
          <w:iCs/>
          <w:i/>
        </w:rPr>
        <w:t xml:space="preserve">19</w:t>
      </w:r>
      <w:r>
        <w:t xml:space="preserve">(14), 3337–3353.</w:t>
      </w:r>
      <w:r>
        <w:t xml:space="preserve"> </w:t>
      </w:r>
      <w:hyperlink r:id="rId138">
        <w:r>
          <w:rPr>
            <w:rStyle w:val="Hyperlink"/>
          </w:rPr>
          <w:t xml:space="preserve">https://doi.org/10.1175/JCLI3800.1</w:t>
        </w:r>
      </w:hyperlink>
    </w:p>
    <w:bookmarkEnd w:id="139"/>
    <w:bookmarkStart w:id="140" w:name="ref-fritts_tree_1976"/>
    <w:p>
      <w:pPr>
        <w:pStyle w:val="Bibliography"/>
      </w:pPr>
      <w:r>
        <w:t xml:space="preserve">Fritts, H. C. (1976).</w:t>
      </w:r>
      <w:r>
        <w:t xml:space="preserve"> </w:t>
      </w:r>
      <w:r>
        <w:rPr>
          <w:iCs/>
          <w:i/>
        </w:rPr>
        <w:t xml:space="preserve">Tree rings and climate</w:t>
      </w:r>
      <w:r>
        <w:t xml:space="preserve">.</w:t>
      </w:r>
      <w:r>
        <w:t xml:space="preserve"> </w:t>
      </w:r>
      <w:r>
        <w:t xml:space="preserve">Academic Press</w:t>
      </w:r>
      <w:r>
        <w:t xml:space="preserve">.</w:t>
      </w:r>
    </w:p>
    <w:bookmarkEnd w:id="140"/>
    <w:bookmarkStart w:id="142" w:name="ref-fritts_dendroecology_1989"/>
    <w:p>
      <w:pPr>
        <w:pStyle w:val="Bibliography"/>
      </w:pPr>
      <w:r>
        <w:t xml:space="preserve">Fritts, H. C., &amp; Swetnam, T. W. (1989). Dendroecology:</w:t>
      </w:r>
      <w:r>
        <w:t xml:space="preserve"> </w:t>
      </w:r>
      <w:r>
        <w:t xml:space="preserve">A Tool</w:t>
      </w:r>
      <w:r>
        <w:t xml:space="preserve"> </w:t>
      </w:r>
      <w:r>
        <w:t xml:space="preserve">for</w:t>
      </w:r>
      <w:r>
        <w:t xml:space="preserve"> </w:t>
      </w:r>
      <w:r>
        <w:t xml:space="preserve">Evaluating Variations</w:t>
      </w:r>
      <w:r>
        <w:t xml:space="preserve"> </w:t>
      </w:r>
      <w:r>
        <w:t xml:space="preserve">in</w:t>
      </w:r>
      <w:r>
        <w:t xml:space="preserve"> </w:t>
      </w:r>
      <w:r>
        <w:t xml:space="preserve">Past</w:t>
      </w:r>
      <w:r>
        <w:t xml:space="preserve"> </w:t>
      </w:r>
      <w:r>
        <w:t xml:space="preserve">and</w:t>
      </w:r>
      <w:r>
        <w:t xml:space="preserve"> </w:t>
      </w:r>
      <w:r>
        <w:t xml:space="preserve">Present Forest Environments</w:t>
      </w:r>
      <w:r>
        <w:t xml:space="preserve">. In M. Begon, A. H. Fitter, E. D. Ford, &amp; A. MacFadyen (Eds.),</w:t>
      </w:r>
      <w:r>
        <w:t xml:space="preserve"> </w:t>
      </w:r>
      <w:r>
        <w:rPr>
          <w:iCs/>
          <w:i/>
        </w:rPr>
        <w:t xml:space="preserve">Advances in</w:t>
      </w:r>
      <w:r>
        <w:rPr>
          <w:iCs/>
          <w:i/>
        </w:rPr>
        <w:t xml:space="preserve"> </w:t>
      </w:r>
      <w:r>
        <w:rPr>
          <w:iCs/>
          <w:i/>
        </w:rPr>
        <w:t xml:space="preserve">Ecological Research</w:t>
      </w:r>
      <w:r>
        <w:t xml:space="preserve"> </w:t>
      </w:r>
      <w:r>
        <w:t xml:space="preserve">(Vol. 19, pp. 111–188).</w:t>
      </w:r>
      <w:r>
        <w:t xml:space="preserve"> </w:t>
      </w:r>
      <w:r>
        <w:t xml:space="preserve">Academic Press</w:t>
      </w:r>
      <w:r>
        <w:t xml:space="preserve">.</w:t>
      </w:r>
      <w:r>
        <w:t xml:space="preserve"> </w:t>
      </w:r>
      <w:hyperlink r:id="rId141">
        <w:r>
          <w:rPr>
            <w:rStyle w:val="Hyperlink"/>
          </w:rPr>
          <w:t xml:space="preserve">https://doi.org/10.1016/S0065-2504(08)60158-0</w:t>
        </w:r>
      </w:hyperlink>
    </w:p>
    <w:bookmarkEnd w:id="142"/>
    <w:bookmarkStart w:id="144"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43">
        <w:r>
          <w:rPr>
            <w:rStyle w:val="Hyperlink"/>
          </w:rPr>
          <w:t xml:space="preserve">https://doi.org/10.1002/ecs2.1847</w:t>
        </w:r>
      </w:hyperlink>
    </w:p>
    <w:bookmarkEnd w:id="144"/>
    <w:bookmarkStart w:id="146" w:name="ref-gillerot_tree_2020"/>
    <w:p>
      <w:pPr>
        <w:pStyle w:val="Bibliography"/>
      </w:pPr>
      <w:r>
        <w:t xml:space="preserve">Gillerot, L., Forrester, D. I., Bottero, A., Rigling, A., &amp; Lévesque, M. (2020).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w:t>
      </w:r>
      <w:r>
        <w:t xml:space="preserve"> </w:t>
      </w:r>
      <w:hyperlink r:id="rId145">
        <w:r>
          <w:rPr>
            <w:rStyle w:val="Hyperlink"/>
          </w:rPr>
          <w:t xml:space="preserve">https://doi.org/10.1007/s10021-020-00501-y</w:t>
        </w:r>
      </w:hyperlink>
    </w:p>
    <w:bookmarkEnd w:id="146"/>
    <w:bookmarkStart w:id="148" w:name="ref-girardin_no_2016"/>
    <w:p>
      <w:pPr>
        <w:pStyle w:val="Bibliography"/>
      </w:pPr>
      <w:r>
        <w:t xml:space="preserve">Girardin, M. P., Bouriaud, O., Hogg, E. H., Kurz, W., Zimmermann, N. E., Metsaranta, J. M., de Jong, R., Frank, D. C., Esper, J., Büntgen, U., Guo, X. J., &amp; Bhatti, J. (2016). No growth stimulation of</w:t>
      </w:r>
      <w:r>
        <w:t xml:space="preserve"> </w:t>
      </w:r>
      <w:r>
        <w:t xml:space="preserve">Canada</w:t>
      </w:r>
      <w:r>
        <w:t xml:space="preserve">’s boreal forest under half-century of combined warming and</w:t>
      </w:r>
      <w:r>
        <w:t xml:space="preserve"> </w:t>
      </w:r>
      <w:r>
        <w:t xml:space="preserve">CO</w:t>
      </w:r>
      <w:r>
        <w:t xml:space="preserve"> </w:t>
      </w:r>
      <w:r>
        <w:rPr>
          <w:vertAlign w:val="subscript"/>
        </w:rPr>
        <w:t xml:space="preserve">2</w:t>
      </w:r>
      <w:r>
        <w:t xml:space="preserve"> </w:t>
      </w:r>
      <w:r>
        <w:t xml:space="preserve">fertilization.</w:t>
      </w:r>
      <w:r>
        <w:t xml:space="preserve"> </w:t>
      </w:r>
      <w:r>
        <w:rPr>
          <w:iCs/>
          <w:i/>
        </w:rPr>
        <w:t xml:space="preserve">Proceedings of the National Academy of Sciences</w:t>
      </w:r>
      <w:r>
        <w:t xml:space="preserve">, 201610156.</w:t>
      </w:r>
      <w:r>
        <w:t xml:space="preserve"> </w:t>
      </w:r>
      <w:hyperlink r:id="rId147">
        <w:r>
          <w:rPr>
            <w:rStyle w:val="Hyperlink"/>
          </w:rPr>
          <w:t xml:space="preserve">https://doi.org/10.1073/pnas.1610156113</w:t>
        </w:r>
      </w:hyperlink>
    </w:p>
    <w:bookmarkEnd w:id="148"/>
    <w:bookmarkStart w:id="149" w:name="ref-goulden_patterns_2011"/>
    <w:p>
      <w:pPr>
        <w:pStyle w:val="Bibliography"/>
      </w:pPr>
      <w:r>
        <w:t xml:space="preserve">Goulden, M. L., McMillan, A. M. S., Winston, G. C., Rocha, A. V., Manies, K. L., Harden, J. W., &amp; Bond-Lamberty, B. P. (2011). Patterns of</w:t>
      </w:r>
      <w:r>
        <w:t xml:space="preserve"> </w:t>
      </w:r>
      <w:r>
        <w:t xml:space="preserve">NPP</w:t>
      </w:r>
      <w:r>
        <w:t xml:space="preserve">,</w:t>
      </w:r>
      <w:r>
        <w:t xml:space="preserve"> </w:t>
      </w:r>
      <w:r>
        <w:t xml:space="preserve">GPP</w:t>
      </w:r>
      <w:r>
        <w:t xml:space="preserve">, respiration, and</w:t>
      </w:r>
      <w:r>
        <w:t xml:space="preserve"> </w:t>
      </w:r>
      <w:r>
        <w:t xml:space="preserve">NEP</w:t>
      </w:r>
      <w:r>
        <w:t xml:space="preserve"> </w:t>
      </w:r>
      <w:r>
        <w:t xml:space="preserve">during boreal forest succession.</w:t>
      </w:r>
      <w:r>
        <w:t xml:space="preserve"> </w:t>
      </w:r>
      <w:r>
        <w:rPr>
          <w:iCs/>
          <w:i/>
        </w:rPr>
        <w:t xml:space="preserve">Global Change Biology</w:t>
      </w:r>
      <w:r>
        <w:t xml:space="preserve">,</w:t>
      </w:r>
      <w:r>
        <w:t xml:space="preserve"> </w:t>
      </w:r>
      <w:r>
        <w:rPr>
          <w:iCs/>
          <w:i/>
        </w:rPr>
        <w:t xml:space="preserve">17</w:t>
      </w:r>
      <w:r>
        <w:t xml:space="preserve">(2), 855–871.</w:t>
      </w:r>
    </w:p>
    <w:bookmarkEnd w:id="149"/>
    <w:bookmarkStart w:id="151" w:name="ref-graumlich_longterm_1989"/>
    <w:p>
      <w:pPr>
        <w:pStyle w:val="Bibliography"/>
      </w:pPr>
      <w:r>
        <w:t xml:space="preserve">Graumlich, L. J., Brubaker, L. B., &amp; Grier, C. C. (1989). Long-</w:t>
      </w:r>
      <w:r>
        <w:t xml:space="preserve">Term Trends</w:t>
      </w:r>
      <w:r>
        <w:t xml:space="preserve"> </w:t>
      </w:r>
      <w:r>
        <w:t xml:space="preserve">in</w:t>
      </w:r>
      <w:r>
        <w:t xml:space="preserve"> </w:t>
      </w:r>
      <w:r>
        <w:t xml:space="preserve">Forest Net Primary Productivity</w:t>
      </w:r>
      <w:r>
        <w:t xml:space="preserve">:</w:t>
      </w:r>
      <w:r>
        <w:t xml:space="preserve"> </w:t>
      </w:r>
      <w:r>
        <w:t xml:space="preserve">Cascade Mountains</w:t>
      </w:r>
      <w:r>
        <w:t xml:space="preserve">,</w:t>
      </w:r>
      <w:r>
        <w:t xml:space="preserve"> </w:t>
      </w:r>
      <w:r>
        <w:t xml:space="preserve">Washington</w:t>
      </w:r>
      <w:r>
        <w:t xml:space="preserve">.</w:t>
      </w:r>
      <w:r>
        <w:t xml:space="preserve"> </w:t>
      </w:r>
      <w:r>
        <w:rPr>
          <w:iCs/>
          <w:i/>
        </w:rPr>
        <w:t xml:space="preserve">Ecology</w:t>
      </w:r>
      <w:r>
        <w:t xml:space="preserve">,</w:t>
      </w:r>
      <w:r>
        <w:t xml:space="preserve"> </w:t>
      </w:r>
      <w:r>
        <w:rPr>
          <w:iCs/>
          <w:i/>
        </w:rPr>
        <w:t xml:space="preserve">70</w:t>
      </w:r>
      <w:r>
        <w:t xml:space="preserve">(2), 405–410.</w:t>
      </w:r>
      <w:r>
        <w:t xml:space="preserve"> </w:t>
      </w:r>
      <w:hyperlink r:id="rId150">
        <w:r>
          <w:rPr>
            <w:rStyle w:val="Hyperlink"/>
          </w:rPr>
          <w:t xml:space="preserve">https://doi.org/10.2307/1937545</w:t>
        </w:r>
      </w:hyperlink>
    </w:p>
    <w:bookmarkEnd w:id="151"/>
    <w:bookmarkStart w:id="153"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Cs/>
          <w:i/>
        </w:rPr>
        <w:t xml:space="preserve">Global Change Biology</w:t>
      </w:r>
      <w:r>
        <w:t xml:space="preserve">,</w:t>
      </w:r>
      <w:r>
        <w:t xml:space="preserve"> </w:t>
      </w:r>
      <w:r>
        <w:rPr>
          <w:iCs/>
          <w:i/>
        </w:rPr>
        <w:t xml:space="preserve">21</w:t>
      </w:r>
      <w:r>
        <w:t xml:space="preserve">(10), 3762–3776.</w:t>
      </w:r>
      <w:r>
        <w:t xml:space="preserve"> </w:t>
      </w:r>
      <w:hyperlink r:id="rId152">
        <w:r>
          <w:rPr>
            <w:rStyle w:val="Hyperlink"/>
          </w:rPr>
          <w:t xml:space="preserve">https://doi.org/10.1111/gcb.12955</w:t>
        </w:r>
      </w:hyperlink>
    </w:p>
    <w:bookmarkEnd w:id="153"/>
    <w:bookmarkStart w:id="155" w:name="ref-hacket-pain_consistent_2016"/>
    <w:p>
      <w:pPr>
        <w:pStyle w:val="Bibliography"/>
      </w:pPr>
      <w:r>
        <w:t xml:space="preserve">Hacket-Pain, A. J., Cavin, L., Friend, A. D., &amp; Jump, A. S. (2016). Consistent limitation of growth by high temperature and low precipitation from range core to southern edge of</w:t>
      </w:r>
      <w:r>
        <w:t xml:space="preserve"> </w:t>
      </w:r>
      <w:r>
        <w:t xml:space="preserve">European</w:t>
      </w:r>
      <w:r>
        <w:t xml:space="preserve"> </w:t>
      </w:r>
      <w:r>
        <w:t xml:space="preserve">beech indicates widespread vulnerability to changing climate.</w:t>
      </w:r>
      <w:r>
        <w:t xml:space="preserve"> </w:t>
      </w:r>
      <w:r>
        <w:rPr>
          <w:iCs/>
          <w:i/>
        </w:rPr>
        <w:t xml:space="preserve">European Journal of Forest Research</w:t>
      </w:r>
      <w:r>
        <w:t xml:space="preserve">,</w:t>
      </w:r>
      <w:r>
        <w:t xml:space="preserve"> </w:t>
      </w:r>
      <w:r>
        <w:rPr>
          <w:iCs/>
          <w:i/>
        </w:rPr>
        <w:t xml:space="preserve">135</w:t>
      </w:r>
      <w:r>
        <w:t xml:space="preserve">(5), 897–909.</w:t>
      </w:r>
      <w:r>
        <w:t xml:space="preserve"> </w:t>
      </w:r>
      <w:hyperlink r:id="rId154">
        <w:r>
          <w:rPr>
            <w:rStyle w:val="Hyperlink"/>
          </w:rPr>
          <w:t xml:space="preserve">https://doi.org/10.1007/s10342-016-0982-7</w:t>
        </w:r>
      </w:hyperlink>
    </w:p>
    <w:bookmarkEnd w:id="155"/>
    <w:bookmarkStart w:id="157" w:name="ref-hararuk_tree_2019"/>
    <w:p>
      <w:pPr>
        <w:pStyle w:val="Bibliography"/>
      </w:pPr>
      <w:r>
        <w:t xml:space="preserve">Hararuk, O., Campbell, E. M., Antos, J. A., &amp; Parish, R. (2019). Tree rings provide no evidence of a</w:t>
      </w:r>
      <w:r>
        <w:t xml:space="preserve"> </w:t>
      </w:r>
      <w:r>
        <w:t xml:space="preserve">CO</w:t>
      </w:r>
      <w:r>
        <w:t xml:space="preserve"> </w:t>
      </w:r>
      <w:r>
        <w:rPr>
          <w:vertAlign w:val="subscript"/>
        </w:rPr>
        <w:t xml:space="preserve">2</w:t>
      </w:r>
      <w:r>
        <w:t xml:space="preserve"> </w:t>
      </w:r>
      <w:r>
        <w:t xml:space="preserve">fertilization effect in old-growth subalpine forests of western</w:t>
      </w:r>
      <w:r>
        <w:t xml:space="preserve"> </w:t>
      </w:r>
      <w:r>
        <w:t xml:space="preserve">Canada</w:t>
      </w:r>
      <w:r>
        <w:t xml:space="preserve">.</w:t>
      </w:r>
      <w:r>
        <w:t xml:space="preserve"> </w:t>
      </w:r>
      <w:r>
        <w:rPr>
          <w:iCs/>
          <w:i/>
        </w:rPr>
        <w:t xml:space="preserve">Global Change Biology</w:t>
      </w:r>
      <w:r>
        <w:t xml:space="preserve">,</w:t>
      </w:r>
      <w:r>
        <w:t xml:space="preserve"> </w:t>
      </w:r>
      <w:r>
        <w:rPr>
          <w:iCs/>
          <w:i/>
        </w:rPr>
        <w:t xml:space="preserve">25</w:t>
      </w:r>
      <w:r>
        <w:t xml:space="preserve">(4), 1222–1234.</w:t>
      </w:r>
      <w:r>
        <w:t xml:space="preserve"> </w:t>
      </w:r>
      <w:hyperlink r:id="rId156">
        <w:r>
          <w:rPr>
            <w:rStyle w:val="Hyperlink"/>
          </w:rPr>
          <w:t xml:space="preserve">https://doi.org/10.1111/gcb.14561</w:t>
        </w:r>
      </w:hyperlink>
    </w:p>
    <w:bookmarkEnd w:id="157"/>
    <w:bookmarkStart w:id="159"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58">
        <w:r>
          <w:rPr>
            <w:rStyle w:val="Hyperlink"/>
          </w:rPr>
          <w:t xml:space="preserve">https://doi.org/10.1002/joc.3711</w:t>
        </w:r>
      </w:hyperlink>
    </w:p>
    <w:bookmarkEnd w:id="159"/>
    <w:bookmarkStart w:id="161" w:name="ref-harris_version_2020"/>
    <w:p>
      <w:pPr>
        <w:pStyle w:val="Bibliography"/>
      </w:pPr>
      <w:r>
        <w:t xml:space="preserve">Harris, Ian,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60">
        <w:r>
          <w:rPr>
            <w:rStyle w:val="Hyperlink"/>
          </w:rPr>
          <w:t xml:space="preserve">https://doi.org/10.1038/s41597-020-0453-3</w:t>
        </w:r>
      </w:hyperlink>
    </w:p>
    <w:bookmarkEnd w:id="161"/>
    <w:bookmarkStart w:id="163"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62">
        <w:r>
          <w:rPr>
            <w:rStyle w:val="Hyperlink"/>
          </w:rPr>
          <w:t xml:space="preserve">https://doi.org/10.1111/nph.15906</w:t>
        </w:r>
      </w:hyperlink>
    </w:p>
    <w:bookmarkEnd w:id="163"/>
    <w:bookmarkStart w:id="165" w:name="ref-hember_tree_2019"/>
    <w:p>
      <w:pPr>
        <w:pStyle w:val="Bibliography"/>
      </w:pPr>
      <w:r>
        <w:t xml:space="preserve">Hember, R. A., Kurz, W. A., &amp; Girardin, M. P. (2019). Tree</w:t>
      </w:r>
      <w:r>
        <w:t xml:space="preserve"> </w:t>
      </w:r>
      <w:r>
        <w:t xml:space="preserve">Ring Reconstructions</w:t>
      </w:r>
      <w:r>
        <w:t xml:space="preserve"> </w:t>
      </w:r>
      <w:r>
        <w:t xml:space="preserve">of</w:t>
      </w:r>
      <w:r>
        <w:t xml:space="preserve"> </w:t>
      </w:r>
      <w:r>
        <w:t xml:space="preserve">Stemwood Biomass Indicate Increases</w:t>
      </w:r>
      <w:r>
        <w:t xml:space="preserve"> </w:t>
      </w:r>
      <w:r>
        <w:t xml:space="preserve">in the</w:t>
      </w:r>
      <w:r>
        <w:t xml:space="preserve"> </w:t>
      </w:r>
      <w:r>
        <w:t xml:space="preserve">Growth Rate</w:t>
      </w:r>
      <w:r>
        <w:t xml:space="preserve"> </w:t>
      </w:r>
      <w:r>
        <w:t xml:space="preserve">of</w:t>
      </w:r>
      <w:r>
        <w:t xml:space="preserve"> </w:t>
      </w:r>
      <w:r>
        <w:t xml:space="preserve">Black Spruce Trees Across Boreal Forests</w:t>
      </w:r>
      <w:r>
        <w:t xml:space="preserve"> </w:t>
      </w:r>
      <w:r>
        <w:t xml:space="preserve">of</w:t>
      </w:r>
      <w:r>
        <w:t xml:space="preserve"> </w:t>
      </w:r>
      <w:r>
        <w:t xml:space="preserve">Canada</w:t>
      </w:r>
      <w:r>
        <w:t xml:space="preserve">.</w:t>
      </w:r>
      <w:r>
        <w:t xml:space="preserve"> </w:t>
      </w:r>
      <w:r>
        <w:rPr>
          <w:iCs/>
          <w:i/>
        </w:rPr>
        <w:t xml:space="preserve">Journal of Geophysical Research: Biogeosciences</w:t>
      </w:r>
      <w:r>
        <w:t xml:space="preserve">,</w:t>
      </w:r>
      <w:r>
        <w:t xml:space="preserve"> </w:t>
      </w:r>
      <w:r>
        <w:rPr>
          <w:iCs/>
          <w:i/>
        </w:rPr>
        <w:t xml:space="preserve">124</w:t>
      </w:r>
      <w:r>
        <w:t xml:space="preserve">(8), 2460–2480.</w:t>
      </w:r>
      <w:r>
        <w:t xml:space="preserve"> </w:t>
      </w:r>
      <w:hyperlink r:id="rId164">
        <w:r>
          <w:rPr>
            <w:rStyle w:val="Hyperlink"/>
          </w:rPr>
          <w:t xml:space="preserve">https://doi.org/10.1029/2018JG004573</w:t>
        </w:r>
      </w:hyperlink>
    </w:p>
    <w:bookmarkEnd w:id="165"/>
    <w:bookmarkStart w:id="167" w:name="ref-holz_radial_2018"/>
    <w:p>
      <w:pPr>
        <w:pStyle w:val="Bibliography"/>
      </w:pPr>
      <w:r>
        <w:t xml:space="preserve">Holz, A., Hart, S. J., Williamson, G. J., Veblen, T. T., &amp; Aravena, J. C. (2018). Radial growth response to climate change along the latitudinal range of the world’s southernmost conifer in southern</w:t>
      </w:r>
      <w:r>
        <w:t xml:space="preserve"> </w:t>
      </w:r>
      <w:r>
        <w:t xml:space="preserve">South America</w:t>
      </w:r>
      <w:r>
        <w:t xml:space="preserve">.</w:t>
      </w:r>
      <w:r>
        <w:t xml:space="preserve"> </w:t>
      </w:r>
      <w:r>
        <w:rPr>
          <w:iCs/>
          <w:i/>
        </w:rPr>
        <w:t xml:space="preserve">Journal of Biogeography</w:t>
      </w:r>
      <w:r>
        <w:t xml:space="preserve">,</w:t>
      </w:r>
      <w:r>
        <w:t xml:space="preserve"> </w:t>
      </w:r>
      <w:r>
        <w:rPr>
          <w:iCs/>
          <w:i/>
        </w:rPr>
        <w:t xml:space="preserve">45</w:t>
      </w:r>
      <w:r>
        <w:t xml:space="preserve">(5), 1140–1152.</w:t>
      </w:r>
      <w:r>
        <w:t xml:space="preserve"> </w:t>
      </w:r>
      <w:hyperlink r:id="rId166">
        <w:r>
          <w:rPr>
            <w:rStyle w:val="Hyperlink"/>
          </w:rPr>
          <w:t xml:space="preserve">https://doi.org/10.1111/jbi.13199</w:t>
        </w:r>
      </w:hyperlink>
    </w:p>
    <w:bookmarkEnd w:id="167"/>
    <w:bookmarkStart w:id="169" w:name="ref-kaspar_speciesspecific_2021"/>
    <w:p>
      <w:pPr>
        <w:pStyle w:val="Bibliography"/>
      </w:pPr>
      <w:r>
        <w:t xml:space="preserve">Kašpar, J., Tumajer, J., Šamonil, P., &amp; Vašíčková, I. (2021). Species-specific climate</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68">
        <w:r>
          <w:rPr>
            <w:rStyle w:val="Hyperlink"/>
          </w:rPr>
          <w:t xml:space="preserve">https://doi.org/10.1088/1748-9326/abd8fb</w:t>
        </w:r>
      </w:hyperlink>
    </w:p>
    <w:bookmarkEnd w:id="169"/>
    <w:bookmarkStart w:id="171" w:name="ref-klesse_sampling_2018"/>
    <w:p>
      <w:pPr>
        <w:pStyle w:val="Bibliography"/>
      </w:pPr>
      <w:r>
        <w:t xml:space="preserve">Klesse, S., DeRose, R. J., Guiterman, C. H., Lynch, A. M., O’Connor, C. D., Shaw, J. D., &amp; Evans, M. E. K. (2018). Sampling bias overestimates climate change impacts on forest growth in the southwestern</w:t>
      </w:r>
      <w:r>
        <w:t xml:space="preserve"> </w:t>
      </w:r>
      <w:r>
        <w:t xml:space="preserve">United States</w:t>
      </w:r>
      <w:r>
        <w:t xml:space="preserve">.</w:t>
      </w:r>
      <w:r>
        <w:t xml:space="preserve"> </w:t>
      </w:r>
      <w:r>
        <w:rPr>
          <w:iCs/>
          <w:i/>
        </w:rPr>
        <w:t xml:space="preserve">Nature Communications</w:t>
      </w:r>
      <w:r>
        <w:t xml:space="preserve">,</w:t>
      </w:r>
      <w:r>
        <w:t xml:space="preserve"> </w:t>
      </w:r>
      <w:r>
        <w:rPr>
          <w:iCs/>
          <w:i/>
        </w:rPr>
        <w:t xml:space="preserve">9</w:t>
      </w:r>
      <w:r>
        <w:t xml:space="preserve">(1), 5336.</w:t>
      </w:r>
      <w:r>
        <w:t xml:space="preserve"> </w:t>
      </w:r>
      <w:hyperlink r:id="rId170">
        <w:r>
          <w:rPr>
            <w:rStyle w:val="Hyperlink"/>
          </w:rPr>
          <w:t xml:space="preserve">https://doi.org/10.1038/s41467-018-07800-y</w:t>
        </w:r>
      </w:hyperlink>
    </w:p>
    <w:bookmarkEnd w:id="171"/>
    <w:bookmarkStart w:id="173" w:name="ref-klesse_amplifying_2020"/>
    <w:p>
      <w:pPr>
        <w:pStyle w:val="Bibliography"/>
      </w:pPr>
      <w:r>
        <w:t xml:space="preserve">Klesse, S., von Arx, G., Gossner, M. M., Hug, C., Rigling, A., &amp; Queloz, V. (2020). Amplifying feedback loop between growth and wood anatomical characteristics of</w:t>
      </w:r>
      <w:r>
        <w:t xml:space="preserve"> </w:t>
      </w:r>
      <w:r>
        <w:t xml:space="preserve">Fraxinus</w:t>
      </w:r>
      <w:r>
        <w:t xml:space="preserve"> </w:t>
      </w:r>
      <w:r>
        <w:t xml:space="preserve">excelsior explains size-related susceptibility to ash dieback.</w:t>
      </w:r>
      <w:r>
        <w:t xml:space="preserve"> </w:t>
      </w:r>
      <w:r>
        <w:rPr>
          <w:iCs/>
          <w:i/>
        </w:rPr>
        <w:t xml:space="preserve">Tree Physiology</w:t>
      </w:r>
      <w:r>
        <w:t xml:space="preserve">.</w:t>
      </w:r>
      <w:r>
        <w:t xml:space="preserve"> </w:t>
      </w:r>
      <w:hyperlink r:id="rId172">
        <w:r>
          <w:rPr>
            <w:rStyle w:val="Hyperlink"/>
          </w:rPr>
          <w:t xml:space="preserve">https://doi.org/10.1093/treephys/tpaa091</w:t>
        </w:r>
      </w:hyperlink>
    </w:p>
    <w:bookmarkEnd w:id="173"/>
    <w:bookmarkStart w:id="175"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Cs/>
          <w:i/>
        </w:rPr>
        <w:t xml:space="preserve">New Phytologist</w:t>
      </w:r>
      <w:r>
        <w:t xml:space="preserve">,</w:t>
      </w:r>
      <w:r>
        <w:t xml:space="preserve"> </w:t>
      </w:r>
      <w:r>
        <w:rPr>
          <w:iCs/>
          <w:i/>
        </w:rPr>
        <w:t xml:space="preserve">222</w:t>
      </w:r>
      <w:r>
        <w:t xml:space="preserve">(2), 768–784.</w:t>
      </w:r>
      <w:r>
        <w:t xml:space="preserve"> </w:t>
      </w:r>
      <w:hyperlink r:id="rId174">
        <w:r>
          <w:rPr>
            <w:rStyle w:val="Hyperlink"/>
          </w:rPr>
          <w:t xml:space="preserve">https://doi.org/10.1111/nph.15668</w:t>
        </w:r>
      </w:hyperlink>
    </w:p>
    <w:bookmarkEnd w:id="175"/>
    <w:bookmarkStart w:id="177" w:name="ref-levesque_water_2017"/>
    <w:p>
      <w:pPr>
        <w:pStyle w:val="Bibliography"/>
      </w:pPr>
      <w:r>
        <w:t xml:space="preserve">Levesque, M., Andreu-Hayles, L., &amp; Pederson, N. (2017). Water availability drives gas exchange and growth of trees in northeastern</w:t>
      </w:r>
      <w:r>
        <w:t xml:space="preserve"> </w:t>
      </w:r>
      <w:r>
        <w:t xml:space="preserve">US</w:t>
      </w:r>
      <w:r>
        <w:t xml:space="preserve">, not elevated</w:t>
      </w:r>
      <w:r>
        <w:t xml:space="preserve"> </w:t>
      </w:r>
      <w:r>
        <w:t xml:space="preserve">CO</w:t>
      </w:r>
      <w:r>
        <w:rPr>
          <w:vertAlign w:val="subscript"/>
        </w:rPr>
        <w:t xml:space="preserve">2</w:t>
      </w:r>
      <w:r>
        <w:t xml:space="preserve"> </w:t>
      </w:r>
      <w:r>
        <w:t xml:space="preserve">and reduced acid deposition.</w:t>
      </w:r>
      <w:r>
        <w:t xml:space="preserve"> </w:t>
      </w:r>
      <w:r>
        <w:rPr>
          <w:iCs/>
          <w:i/>
        </w:rPr>
        <w:t xml:space="preserve">Scientific Reports</w:t>
      </w:r>
      <w:r>
        <w:t xml:space="preserve">,</w:t>
      </w:r>
      <w:r>
        <w:t xml:space="preserve"> </w:t>
      </w:r>
      <w:r>
        <w:rPr>
          <w:iCs/>
          <w:i/>
        </w:rPr>
        <w:t xml:space="preserve">7</w:t>
      </w:r>
      <w:r>
        <w:t xml:space="preserve">, 46158.</w:t>
      </w:r>
      <w:r>
        <w:t xml:space="preserve"> </w:t>
      </w:r>
      <w:hyperlink r:id="rId176">
        <w:r>
          <w:rPr>
            <w:rStyle w:val="Hyperlink"/>
          </w:rPr>
          <w:t xml:space="preserve">https://doi.org/10.1038/srep46158</w:t>
        </w:r>
      </w:hyperlink>
    </w:p>
    <w:bookmarkEnd w:id="177"/>
    <w:bookmarkStart w:id="179" w:name="ref-ljungqvist_assessing_2020"/>
    <w:p>
      <w:pPr>
        <w:pStyle w:val="Bibliography"/>
      </w:pPr>
      <w:r>
        <w:t xml:space="preserve">Ljungqvist, F. C., Thejll, P., Björklund, J., Gunnarson, B. E., Piermattei, A., Rydval, M., Seftigen, K., Støve, B., &amp; Büntgen, U. (2020). Assessing non-linearity in</w:t>
      </w:r>
      <w:r>
        <w:t xml:space="preserve"> </w:t>
      </w:r>
      <w:r>
        <w:t xml:space="preserve">European</w:t>
      </w:r>
      <w:r>
        <w:t xml:space="preserve"> </w:t>
      </w:r>
      <w:r>
        <w:t xml:space="preserve">temperature-sensitive tree-ring data.</w:t>
      </w:r>
      <w:r>
        <w:t xml:space="preserve"> </w:t>
      </w:r>
      <w:r>
        <w:rPr>
          <w:iCs/>
          <w:i/>
        </w:rPr>
        <w:t xml:space="preserve">Dendrochronologia</w:t>
      </w:r>
      <w:r>
        <w:t xml:space="preserve">,</w:t>
      </w:r>
      <w:r>
        <w:t xml:space="preserve"> </w:t>
      </w:r>
      <w:r>
        <w:rPr>
          <w:iCs/>
          <w:i/>
        </w:rPr>
        <w:t xml:space="preserve">59</w:t>
      </w:r>
      <w:r>
        <w:t xml:space="preserve">, 125652.</w:t>
      </w:r>
      <w:r>
        <w:t xml:space="preserve"> </w:t>
      </w:r>
      <w:hyperlink r:id="rId178">
        <w:r>
          <w:rPr>
            <w:rStyle w:val="Hyperlink"/>
          </w:rPr>
          <w:t xml:space="preserve">https://doi.org/10.1016/j.dendro.2019.125652</w:t>
        </w:r>
      </w:hyperlink>
    </w:p>
    <w:bookmarkEnd w:id="179"/>
    <w:bookmarkStart w:id="181" w:name="ref-lorimer_methodology_2011"/>
    <w:p>
      <w:pPr>
        <w:pStyle w:val="Bibliography"/>
      </w:pPr>
      <w:r>
        <w:t xml:space="preserve">Lorimer, C. G., &amp; Frelich, L. E. (2011). A methodology for estimating canopy disturbance frequency and intensity in dense temperate forests.</w:t>
      </w:r>
      <w:r>
        <w:t xml:space="preserve"> </w:t>
      </w:r>
      <w:r>
        <w:rPr>
          <w:iCs/>
          <w:i/>
        </w:rPr>
        <w:t xml:space="preserve">Canadian Journal of Forest Research</w:t>
      </w:r>
      <w:r>
        <w:t xml:space="preserve">.</w:t>
      </w:r>
      <w:r>
        <w:t xml:space="preserve"> </w:t>
      </w:r>
      <w:hyperlink r:id="rId180">
        <w:r>
          <w:rPr>
            <w:rStyle w:val="Hyperlink"/>
          </w:rPr>
          <w:t xml:space="preserve">https://doi.org/10.1139/x89-102</w:t>
        </w:r>
      </w:hyperlink>
    </w:p>
    <w:bookmarkEnd w:id="181"/>
    <w:bookmarkStart w:id="183" w:name="ref-lorimer_estimating_1988"/>
    <w:p>
      <w:pPr>
        <w:pStyle w:val="Bibliography"/>
      </w:pPr>
      <w:r>
        <w:t xml:space="preserve">Lorimer, C. G., Frelich, L. E., &amp; Nordheim, E. V. (1988). Estimating</w:t>
      </w:r>
      <w:r>
        <w:t xml:space="preserve"> </w:t>
      </w:r>
      <w:r>
        <w:t xml:space="preserve">Gap Origin Probabilities</w:t>
      </w:r>
      <w:r>
        <w:t xml:space="preserve"> </w:t>
      </w:r>
      <w:r>
        <w:t xml:space="preserve">for</w:t>
      </w:r>
      <w:r>
        <w:t xml:space="preserve"> </w:t>
      </w:r>
      <w:r>
        <w:t xml:space="preserve">Canopy Trees</w:t>
      </w:r>
      <w:r>
        <w:t xml:space="preserve">.</w:t>
      </w:r>
      <w:r>
        <w:t xml:space="preserve"> </w:t>
      </w:r>
      <w:r>
        <w:rPr>
          <w:iCs/>
          <w:i/>
        </w:rPr>
        <w:t xml:space="preserve">Ecology</w:t>
      </w:r>
      <w:r>
        <w:t xml:space="preserve">,</w:t>
      </w:r>
      <w:r>
        <w:t xml:space="preserve"> </w:t>
      </w:r>
      <w:r>
        <w:rPr>
          <w:iCs/>
          <w:i/>
        </w:rPr>
        <w:t xml:space="preserve">69</w:t>
      </w:r>
      <w:r>
        <w:t xml:space="preserve">(3), 778–785.</w:t>
      </w:r>
      <w:r>
        <w:t xml:space="preserve"> </w:t>
      </w:r>
      <w:hyperlink r:id="rId182">
        <w:r>
          <w:rPr>
            <w:rStyle w:val="Hyperlink"/>
          </w:rPr>
          <w:t xml:space="preserve">https://doi.org/10.2307/1941026</w:t>
        </w:r>
      </w:hyperlink>
    </w:p>
    <w:bookmarkEnd w:id="183"/>
    <w:bookmarkStart w:id="185" w:name="ref-mathias_disentangling_2018"/>
    <w:p>
      <w:pPr>
        <w:pStyle w:val="Bibliography"/>
      </w:pPr>
      <w:r>
        <w:t xml:space="preserve">Mathias, J. M., &amp; Thomas, R. B. (2018). Disentangling the effects of acidic air pollution, atmospheric</w:t>
      </w:r>
      <w:r>
        <w:t xml:space="preserve"> </w:t>
      </w:r>
      <w:r>
        <w:t xml:space="preserve">CO2</w:t>
      </w:r>
      <w:r>
        <w:t xml:space="preserve">, and climate change on recent growth of red spruce trees in the</w:t>
      </w:r>
      <w:r>
        <w:t xml:space="preserve"> </w:t>
      </w:r>
      <w:r>
        <w:t xml:space="preserve">Central Appalachian Mountains</w:t>
      </w:r>
      <w:r>
        <w:t xml:space="preserve">.</w:t>
      </w:r>
      <w:r>
        <w:t xml:space="preserve"> </w:t>
      </w:r>
      <w:r>
        <w:rPr>
          <w:iCs/>
          <w:i/>
        </w:rPr>
        <w:t xml:space="preserve">Global Change Biology</w:t>
      </w:r>
      <w:r>
        <w:t xml:space="preserve">,</w:t>
      </w:r>
      <w:r>
        <w:t xml:space="preserve"> </w:t>
      </w:r>
      <w:r>
        <w:rPr>
          <w:iCs/>
          <w:i/>
        </w:rPr>
        <w:t xml:space="preserve">24</w:t>
      </w:r>
      <w:r>
        <w:t xml:space="preserve">(9), 3938–3953.</w:t>
      </w:r>
      <w:r>
        <w:t xml:space="preserve"> </w:t>
      </w:r>
      <w:hyperlink r:id="rId184">
        <w:r>
          <w:rPr>
            <w:rStyle w:val="Hyperlink"/>
          </w:rPr>
          <w:t xml:space="preserve">https://doi.org/10.1111/gcb.14273</w:t>
        </w:r>
      </w:hyperlink>
    </w:p>
    <w:bookmarkEnd w:id="185"/>
    <w:bookmarkStart w:id="187"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86">
        <w:r>
          <w:rPr>
            <w:rStyle w:val="Hyperlink"/>
          </w:rPr>
          <w:t xml:space="preserve">https://doi.org/10.1007/s10584-016-1720-3</w:t>
        </w:r>
      </w:hyperlink>
    </w:p>
    <w:bookmarkEnd w:id="187"/>
    <w:bookmarkStart w:id="189"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Cs/>
          <w:i/>
        </w:rPr>
        <w:t xml:space="preserve">Science</w:t>
      </w:r>
      <w:r>
        <w:t xml:space="preserve">,</w:t>
      </w:r>
      <w:r>
        <w:t xml:space="preserve"> </w:t>
      </w:r>
      <w:r>
        <w:rPr>
          <w:iCs/>
          <w:i/>
        </w:rPr>
        <w:t xml:space="preserve">368</w:t>
      </w:r>
      <w:r>
        <w:t xml:space="preserve">(6494).</w:t>
      </w:r>
      <w:r>
        <w:t xml:space="preserve"> </w:t>
      </w:r>
      <w:hyperlink r:id="rId188">
        <w:r>
          <w:rPr>
            <w:rStyle w:val="Hyperlink"/>
          </w:rPr>
          <w:t xml:space="preserve">https://doi.org/10.1126/science.aaz9463</w:t>
        </w:r>
      </w:hyperlink>
    </w:p>
    <w:bookmarkEnd w:id="189"/>
    <w:bookmarkStart w:id="191"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Cs/>
          <w:i/>
        </w:rPr>
        <w:t xml:space="preserve">New Phytologist</w:t>
      </w:r>
      <w:r>
        <w:t xml:space="preserve">.</w:t>
      </w:r>
      <w:r>
        <w:t xml:space="preserve"> </w:t>
      </w:r>
      <w:hyperlink r:id="rId190">
        <w:r>
          <w:rPr>
            <w:rStyle w:val="Hyperlink"/>
          </w:rPr>
          <w:t xml:space="preserve">https://doi.org/10.1111/nph.16996</w:t>
        </w:r>
      </w:hyperlink>
    </w:p>
    <w:bookmarkEnd w:id="191"/>
    <w:bookmarkStart w:id="193"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Cs/>
          <w:i/>
        </w:rPr>
        <w:t xml:space="preserve">New Phytologist</w:t>
      </w:r>
      <w:r>
        <w:t xml:space="preserve">,</w:t>
      </w:r>
      <w:r>
        <w:t xml:space="preserve"> </w:t>
      </w:r>
      <w:r>
        <w:rPr>
          <w:iCs/>
          <w:i/>
        </w:rPr>
        <w:t xml:space="preserve">219</w:t>
      </w:r>
      <w:r>
        <w:t xml:space="preserve">(3), 947–958.</w:t>
      </w:r>
      <w:r>
        <w:t xml:space="preserve"> </w:t>
      </w:r>
      <w:hyperlink r:id="rId192">
        <w:r>
          <w:rPr>
            <w:rStyle w:val="Hyperlink"/>
          </w:rPr>
          <w:t xml:space="preserve">https://doi.org/10.1111/nph.14633</w:t>
        </w:r>
      </w:hyperlink>
    </w:p>
    <w:bookmarkEnd w:id="193"/>
    <w:bookmarkStart w:id="195"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94">
        <w:r>
          <w:rPr>
            <w:rStyle w:val="Hyperlink"/>
          </w:rPr>
          <w:t xml:space="preserve">https://doi.org/10.1016/j.cageo.2011.01.013</w:t>
        </w:r>
      </w:hyperlink>
    </w:p>
    <w:bookmarkEnd w:id="195"/>
    <w:bookmarkStart w:id="196"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Cs/>
          <w:i/>
        </w:rPr>
        <w:t xml:space="preserve">Ecology Letters</w:t>
      </w:r>
      <w:r>
        <w:t xml:space="preserve">,</w:t>
      </w:r>
      <w:r>
        <w:t xml:space="preserve"> </w:t>
      </w:r>
      <w:r>
        <w:rPr>
          <w:iCs/>
          <w:i/>
        </w:rPr>
        <w:t xml:space="preserve">9</w:t>
      </w:r>
      <w:r>
        <w:t xml:space="preserve">(5), 575–588.</w:t>
      </w:r>
    </w:p>
    <w:bookmarkEnd w:id="196"/>
    <w:bookmarkStart w:id="198" w:name="ref-naimi_where_2014"/>
    <w:p>
      <w:pPr>
        <w:pStyle w:val="Bibliography"/>
      </w:pPr>
      <w:r>
        <w:t xml:space="preserve">Naimi, B., Hamm, N. A. S., Groen, T. A., Skidmore, A. K., &amp; Toxopeus, A. G. (2014). Where is positional uncertainty a problem for species distribution modelling?</w:t>
      </w:r>
      <w:r>
        <w:t xml:space="preserve"> </w:t>
      </w:r>
      <w:r>
        <w:rPr>
          <w:iCs/>
          <w:i/>
        </w:rPr>
        <w:t xml:space="preserve">Ecography</w:t>
      </w:r>
      <w:r>
        <w:t xml:space="preserve">,</w:t>
      </w:r>
      <w:r>
        <w:t xml:space="preserve"> </w:t>
      </w:r>
      <w:r>
        <w:rPr>
          <w:iCs/>
          <w:i/>
        </w:rPr>
        <w:t xml:space="preserve">37</w:t>
      </w:r>
      <w:r>
        <w:t xml:space="preserve">(2), 191–203.</w:t>
      </w:r>
      <w:r>
        <w:t xml:space="preserve"> </w:t>
      </w:r>
      <w:hyperlink r:id="rId197">
        <w:r>
          <w:rPr>
            <w:rStyle w:val="Hyperlink"/>
          </w:rPr>
          <w:t xml:space="preserve">https://doi.org/10.1111/j.1600-0587.2013.00205.x</w:t>
        </w:r>
      </w:hyperlink>
    </w:p>
    <w:bookmarkEnd w:id="198"/>
    <w:bookmarkStart w:id="200"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Cs/>
          <w:i/>
        </w:rPr>
        <w:t xml:space="preserve">Global Change Biology</w:t>
      </w:r>
      <w:r>
        <w:t xml:space="preserve">,</w:t>
      </w:r>
      <w:r>
        <w:t xml:space="preserve"> </w:t>
      </w:r>
      <w:r>
        <w:rPr>
          <w:iCs/>
          <w:i/>
        </w:rPr>
        <w:t xml:space="preserve">20</w:t>
      </w:r>
      <w:r>
        <w:t xml:space="preserve">(9), 2867–2885.</w:t>
      </w:r>
      <w:r>
        <w:t xml:space="preserve"> </w:t>
      </w:r>
      <w:hyperlink r:id="rId199">
        <w:r>
          <w:rPr>
            <w:rStyle w:val="Hyperlink"/>
          </w:rPr>
          <w:t xml:space="preserve">https://doi.org/10.1111/gcb.12599</w:t>
        </w:r>
      </w:hyperlink>
    </w:p>
    <w:bookmarkEnd w:id="200"/>
    <w:bookmarkStart w:id="202" w:name="ref-nock_long_2011"/>
    <w:p>
      <w:pPr>
        <w:pStyle w:val="Bibliography"/>
      </w:pPr>
      <w:r>
        <w:t xml:space="preserve">Nock, C. A., Baker, P. J., Wanek, W., Leis, A., Grabner, M., Bunyavejchewin, S., &amp; Hietz, P. (2011). Long-term increases in intrinsic water-use efficiency do not lead to increased stem growth in a tropical monsoon forest in western</w:t>
      </w:r>
      <w:r>
        <w:t xml:space="preserve"> </w:t>
      </w:r>
      <w:r>
        <w:t xml:space="preserve">Thailand</w:t>
      </w:r>
      <w:r>
        <w:t xml:space="preserve">.</w:t>
      </w:r>
      <w:r>
        <w:t xml:space="preserve"> </w:t>
      </w:r>
      <w:r>
        <w:rPr>
          <w:iCs/>
          <w:i/>
        </w:rPr>
        <w:t xml:space="preserve">Global Change Biology</w:t>
      </w:r>
      <w:r>
        <w:t xml:space="preserve">,</w:t>
      </w:r>
      <w:r>
        <w:t xml:space="preserve"> </w:t>
      </w:r>
      <w:r>
        <w:rPr>
          <w:iCs/>
          <w:i/>
        </w:rPr>
        <w:t xml:space="preserve">17</w:t>
      </w:r>
      <w:r>
        <w:t xml:space="preserve">(2), 1049–1063.</w:t>
      </w:r>
      <w:r>
        <w:t xml:space="preserve"> </w:t>
      </w:r>
      <w:hyperlink r:id="rId201">
        <w:r>
          <w:rPr>
            <w:rStyle w:val="Hyperlink"/>
          </w:rPr>
          <w:t xml:space="preserve">https://doi.org/10.1111/j.1365-2486.2010.02222.x</w:t>
        </w:r>
      </w:hyperlink>
    </w:p>
    <w:bookmarkEnd w:id="202"/>
    <w:bookmarkStart w:id="204"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203">
        <w:r>
          <w:rPr>
            <w:rStyle w:val="Hyperlink"/>
          </w:rPr>
          <w:t xml:space="preserve">https://doi.org/10.3389/ffgc.2020.00039</w:t>
        </w:r>
      </w:hyperlink>
    </w:p>
    <w:bookmarkEnd w:id="204"/>
    <w:bookmarkStart w:id="206" w:name="ref-peltier_tree_2020"/>
    <w:p>
      <w:pPr>
        <w:pStyle w:val="Bibliography"/>
      </w:pPr>
      <w:r>
        <w:t xml:space="preserve">Peltier, D. M. P., &amp; Ogle, K. (2020). Tree growth sensitivity to climate is temporally variable.</w:t>
      </w:r>
      <w:r>
        <w:t xml:space="preserve"> </w:t>
      </w:r>
      <w:r>
        <w:rPr>
          <w:iCs/>
          <w:i/>
        </w:rPr>
        <w:t xml:space="preserve">Ecology Letters</w:t>
      </w:r>
      <w:r>
        <w:t xml:space="preserve">,</w:t>
      </w:r>
      <w:r>
        <w:t xml:space="preserve"> </w:t>
      </w:r>
      <w:r>
        <w:rPr>
          <w:iCs/>
          <w:i/>
        </w:rPr>
        <w:t xml:space="preserve">23</w:t>
      </w:r>
      <w:r>
        <w:t xml:space="preserve">(11), 1561–1572.</w:t>
      </w:r>
      <w:r>
        <w:t xml:space="preserve"> </w:t>
      </w:r>
      <w:hyperlink r:id="rId205">
        <w:r>
          <w:rPr>
            <w:rStyle w:val="Hyperlink"/>
          </w:rPr>
          <w:t xml:space="preserve">https://doi.org/10.1111/ele.13575</w:t>
        </w:r>
      </w:hyperlink>
    </w:p>
    <w:bookmarkEnd w:id="206"/>
    <w:bookmarkStart w:id="208" w:name="ref-peters_detecting_2015"/>
    <w:p>
      <w:pPr>
        <w:pStyle w:val="Bibliography"/>
      </w:pPr>
      <w:r>
        <w:t xml:space="preserve">Peters, R. L., Groenendijk, P., Vlam, M., &amp; Zuidema, P. A. (2015). Detecting long-term growth trends using tree rings: A critical evaluation of methods.</w:t>
      </w:r>
      <w:r>
        <w:t xml:space="preserve"> </w:t>
      </w:r>
      <w:r>
        <w:rPr>
          <w:iCs/>
          <w:i/>
        </w:rPr>
        <w:t xml:space="preserve">Global Change Biology</w:t>
      </w:r>
      <w:r>
        <w:t xml:space="preserve">,</w:t>
      </w:r>
      <w:r>
        <w:t xml:space="preserve"> </w:t>
      </w:r>
      <w:r>
        <w:rPr>
          <w:iCs/>
          <w:i/>
        </w:rPr>
        <w:t xml:space="preserve">21</w:t>
      </w:r>
      <w:r>
        <w:t xml:space="preserve">(5), 2040–2054.</w:t>
      </w:r>
      <w:r>
        <w:t xml:space="preserve"> </w:t>
      </w:r>
      <w:hyperlink r:id="rId207">
        <w:r>
          <w:rPr>
            <w:rStyle w:val="Hyperlink"/>
          </w:rPr>
          <w:t xml:space="preserve">https://doi.org/10.1111/gcb.12826</w:t>
        </w:r>
      </w:hyperlink>
    </w:p>
    <w:bookmarkEnd w:id="208"/>
    <w:bookmarkStart w:id="209" w:name="ref-pregitzer_carbon_2004"/>
    <w:p>
      <w:pPr>
        <w:pStyle w:val="Bibliography"/>
      </w:pPr>
      <w:r>
        <w:t xml:space="preserve">Pregitzer, K. S., &amp; Euskirchen, E. S. (2004). Carbon cycling and storage in world forests: Biome patterns related to forest age.</w:t>
      </w:r>
      <w:r>
        <w:t xml:space="preserve"> </w:t>
      </w:r>
      <w:r>
        <w:rPr>
          <w:iCs/>
          <w:i/>
        </w:rPr>
        <w:t xml:space="preserve">Global Change Biology</w:t>
      </w:r>
      <w:r>
        <w:t xml:space="preserve">,</w:t>
      </w:r>
      <w:r>
        <w:t xml:space="preserve"> </w:t>
      </w:r>
      <w:r>
        <w:rPr>
          <w:iCs/>
          <w:i/>
        </w:rPr>
        <w:t xml:space="preserve">10</w:t>
      </w:r>
      <w:r>
        <w:t xml:space="preserve">(12), 2052–2077.</w:t>
      </w:r>
    </w:p>
    <w:bookmarkEnd w:id="209"/>
    <w:bookmarkStart w:id="211" w:name="ref-pretzsch_drought_2018"/>
    <w:p>
      <w:pPr>
        <w:pStyle w:val="Bibliography"/>
      </w:pPr>
      <w:r>
        <w:t xml:space="preserve">Pretzsch, H., Schütze, G., &amp; Biber, P. (2018). Drought can favour the growth of small in relation to tall trees in mature stands of</w:t>
      </w:r>
      <w:r>
        <w:t xml:space="preserve"> </w:t>
      </w:r>
      <w:r>
        <w:t xml:space="preserve">Norway</w:t>
      </w:r>
      <w:r>
        <w:t xml:space="preserve"> </w:t>
      </w:r>
      <w:r>
        <w:t xml:space="preserve">spruce and</w:t>
      </w:r>
      <w:r>
        <w:t xml:space="preserve"> </w:t>
      </w:r>
      <w:r>
        <w:t xml:space="preserve">European</w:t>
      </w:r>
      <w:r>
        <w:t xml:space="preserve"> </w:t>
      </w:r>
      <w:r>
        <w:t xml:space="preserve">beech.</w:t>
      </w:r>
      <w:r>
        <w:t xml:space="preserve"> </w:t>
      </w:r>
      <w:r>
        <w:rPr>
          <w:iCs/>
          <w:i/>
        </w:rPr>
        <w:t xml:space="preserve">Forest Ecosystems</w:t>
      </w:r>
      <w:r>
        <w:t xml:space="preserve">,</w:t>
      </w:r>
      <w:r>
        <w:t xml:space="preserve"> </w:t>
      </w:r>
      <w:r>
        <w:rPr>
          <w:iCs/>
          <w:i/>
        </w:rPr>
        <w:t xml:space="preserve">5</w:t>
      </w:r>
      <w:r>
        <w:t xml:space="preserve">(1), 20.</w:t>
      </w:r>
      <w:r>
        <w:t xml:space="preserve"> </w:t>
      </w:r>
      <w:hyperlink r:id="rId210">
        <w:r>
          <w:rPr>
            <w:rStyle w:val="Hyperlink"/>
          </w:rPr>
          <w:t xml:space="preserve">https://doi.org/10.1186/s40663-018-0139-x</w:t>
        </w:r>
      </w:hyperlink>
    </w:p>
    <w:bookmarkEnd w:id="211"/>
    <w:bookmarkStart w:id="213" w:name="ref-rayback_dendroecological_2020"/>
    <w:p>
      <w:pPr>
        <w:pStyle w:val="Bibliography"/>
      </w:pPr>
      <w:r>
        <w:t xml:space="preserve">Rayback, S. A., Duncan, J. A., Schaberg, P. G., Kosiba, A. M., Hansen, C. F., &amp; Murakami, P. F. (2020). The</w:t>
      </w:r>
      <w:r>
        <w:t xml:space="preserve"> </w:t>
      </w:r>
      <w:r>
        <w:t xml:space="preserve">DendroEcological Network</w:t>
      </w:r>
      <w:r>
        <w:t xml:space="preserve">:</w:t>
      </w:r>
      <w:r>
        <w:t xml:space="preserve"> </w:t>
      </w:r>
      <w:r>
        <w:t xml:space="preserve">A</w:t>
      </w:r>
      <w:r>
        <w:t xml:space="preserve"> </w:t>
      </w:r>
      <w:r>
        <w:t xml:space="preserve">cyberinfrastructure for the storage, discovery and sharing of tree-ring and associated ecological data.</w:t>
      </w:r>
      <w:r>
        <w:t xml:space="preserve"> </w:t>
      </w:r>
      <w:r>
        <w:rPr>
          <w:iCs/>
          <w:i/>
        </w:rPr>
        <w:t xml:space="preserve">Dendrochronologia</w:t>
      </w:r>
      <w:r>
        <w:t xml:space="preserve">,</w:t>
      </w:r>
      <w:r>
        <w:t xml:space="preserve"> </w:t>
      </w:r>
      <w:r>
        <w:rPr>
          <w:iCs/>
          <w:i/>
        </w:rPr>
        <w:t xml:space="preserve">60</w:t>
      </w:r>
      <w:r>
        <w:t xml:space="preserve">, 125678.</w:t>
      </w:r>
      <w:r>
        <w:t xml:space="preserve"> </w:t>
      </w:r>
      <w:hyperlink r:id="rId212">
        <w:r>
          <w:rPr>
            <w:rStyle w:val="Hyperlink"/>
          </w:rPr>
          <w:t xml:space="preserve">https://doi.org/10.1016/j.dendro.2020.125678</w:t>
        </w:r>
      </w:hyperlink>
    </w:p>
    <w:bookmarkEnd w:id="213"/>
    <w:bookmarkStart w:id="215"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Cs/>
          <w:i/>
        </w:rPr>
        <w:t xml:space="preserve">Methods in Ecology and Evolution</w:t>
      </w:r>
      <w:r>
        <w:t xml:space="preserve">,</w:t>
      </w:r>
      <w:r>
        <w:t xml:space="preserve"> </w:t>
      </w:r>
      <w:r>
        <w:rPr>
          <w:iCs/>
          <w:i/>
        </w:rPr>
        <w:t xml:space="preserve">8</w:t>
      </w:r>
      <w:r>
        <w:t xml:space="preserve">(9), 1163–1167.</w:t>
      </w:r>
      <w:r>
        <w:t xml:space="preserve"> </w:t>
      </w:r>
      <w:hyperlink r:id="rId214">
        <w:r>
          <w:rPr>
            <w:rStyle w:val="Hyperlink"/>
          </w:rPr>
          <w:t xml:space="preserve">https://doi.org/10.1111/2041-210X.12753</w:t>
        </w:r>
      </w:hyperlink>
    </w:p>
    <w:bookmarkEnd w:id="215"/>
    <w:bookmarkStart w:id="217" w:name="ref-rollinson_climate_2021"/>
    <w:p>
      <w:pPr>
        <w:pStyle w:val="Bibliography"/>
      </w:pPr>
      <w:r>
        <w:t xml:space="preserve">Rollinson, C. R., Alexander, M. R., Dye, A. W., Moore, D. J. P., Pederson, N., &amp; Trouet, V. (2021). Climate sensitivity of understory trees differs from overstory trees in temperate mesic forests.</w:t>
      </w:r>
      <w:r>
        <w:t xml:space="preserve"> </w:t>
      </w:r>
      <w:r>
        <w:rPr>
          <w:iCs/>
          <w:i/>
        </w:rPr>
        <w:t xml:space="preserve">Ecology</w:t>
      </w:r>
      <w:r>
        <w:t xml:space="preserve">,</w:t>
      </w:r>
      <w:r>
        <w:t xml:space="preserve"> </w:t>
      </w:r>
      <w:r>
        <w:rPr>
          <w:iCs/>
          <w:i/>
        </w:rPr>
        <w:t xml:space="preserve">n/a</w:t>
      </w:r>
      <w:r>
        <w:t xml:space="preserve">(n/a), e03264.</w:t>
      </w:r>
      <w:r>
        <w:t xml:space="preserve"> </w:t>
      </w:r>
      <w:hyperlink r:id="rId216">
        <w:r>
          <w:rPr>
            <w:rStyle w:val="Hyperlink"/>
          </w:rPr>
          <w:t xml:space="preserve">https://doi.org/10.1002/ecy.3264</w:t>
        </w:r>
      </w:hyperlink>
    </w:p>
    <w:bookmarkEnd w:id="217"/>
    <w:bookmarkStart w:id="219" w:name="ref-rossi_agedependent_2007"/>
    <w:p>
      <w:pPr>
        <w:pStyle w:val="Bibliography"/>
      </w:pPr>
      <w:r>
        <w:t xml:space="preserve">Rossi, S., Deslauriers, A., Anfodillo, T., &amp; Carrer, M. (2007). Age-dependent xylogenesis in timberline conifers.</w:t>
      </w:r>
      <w:r>
        <w:t xml:space="preserve"> </w:t>
      </w:r>
      <w:r>
        <w:rPr>
          <w:iCs/>
          <w:i/>
        </w:rPr>
        <w:t xml:space="preserve">New Phytologist</w:t>
      </w:r>
      <w:r>
        <w:t xml:space="preserve">,</w:t>
      </w:r>
      <w:r>
        <w:t xml:space="preserve"> </w:t>
      </w:r>
      <w:r>
        <w:rPr>
          <w:iCs/>
          <w:i/>
        </w:rPr>
        <w:t xml:space="preserve">0</w:t>
      </w:r>
      <w:r>
        <w:t xml:space="preserve">(0), 071018051611001–???</w:t>
      </w:r>
      <w:r>
        <w:t xml:space="preserve"> </w:t>
      </w:r>
      <w:hyperlink r:id="rId218">
        <w:r>
          <w:rPr>
            <w:rStyle w:val="Hyperlink"/>
          </w:rPr>
          <w:t xml:space="preserve">https://doi.org/10.1111/j.1469-8137.2007.02235.x</w:t>
        </w:r>
      </w:hyperlink>
    </w:p>
    <w:bookmarkEnd w:id="219"/>
    <w:bookmarkStart w:id="221"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w:t>
      </w:r>
      <w:r>
        <w:t xml:space="preserve"> </w:t>
      </w:r>
      <w:r>
        <w:t xml:space="preserve">A</w:t>
      </w:r>
      <w:r>
        <w:t xml:space="preserve"> </w:t>
      </w:r>
      <w:r>
        <w:t xml:space="preserve">retrospective and dynamic approach in</w:t>
      </w:r>
      <w:r>
        <w:t xml:space="preserve"> </w:t>
      </w:r>
      <w:r>
        <w:t xml:space="preserve">Scots</w:t>
      </w:r>
      <w:r>
        <w:t xml:space="preserve"> </w:t>
      </w:r>
      <w:r>
        <w:t xml:space="preserve">pine.</w:t>
      </w:r>
      <w:r>
        <w:t xml:space="preserve"> </w:t>
      </w:r>
      <w:r>
        <w:rPr>
          <w:iCs/>
          <w:i/>
        </w:rPr>
        <w:t xml:space="preserve">Forest Ecology and Management</w:t>
      </w:r>
      <w:r>
        <w:t xml:space="preserve">,</w:t>
      </w:r>
      <w:r>
        <w:t xml:space="preserve"> </w:t>
      </w:r>
      <w:r>
        <w:rPr>
          <w:iCs/>
          <w:i/>
        </w:rPr>
        <w:t xml:space="preserve">358</w:t>
      </w:r>
      <w:r>
        <w:t xml:space="preserve">, 12–25.</w:t>
      </w:r>
      <w:r>
        <w:t xml:space="preserve"> </w:t>
      </w:r>
      <w:hyperlink r:id="rId220">
        <w:r>
          <w:rPr>
            <w:rStyle w:val="Hyperlink"/>
          </w:rPr>
          <w:t xml:space="preserve">https://doi.org/10.1016/j.foreco.2015.08.034</w:t>
        </w:r>
      </w:hyperlink>
    </w:p>
    <w:bookmarkEnd w:id="221"/>
    <w:bookmarkStart w:id="223" w:name="ref-schelhaas_speciesspecific_2018"/>
    <w:p>
      <w:pPr>
        <w:pStyle w:val="Bibliography"/>
      </w:pPr>
      <w:r>
        <w:t xml:space="preserve">Schelhaas, M.-J., Hengeveld, G. M., Heidema, N., Thürig, E., Rohner, B., Vacchiano, G., Vayreda, J., Redmond, J., Socha, J., Fridman, J., Tomter, S., Polley, H., Barreiro, S., &amp; Nabuurs, G.-J. (2018). Species-specific, pan-</w:t>
      </w:r>
      <w:r>
        <w:t xml:space="preserve">European</w:t>
      </w:r>
      <w:r>
        <w:t xml:space="preserve"> </w:t>
      </w:r>
      <w:r>
        <w:t xml:space="preserve">diameter increment models based on data of 2.3 million trees.</w:t>
      </w:r>
      <w:r>
        <w:t xml:space="preserve"> </w:t>
      </w:r>
      <w:r>
        <w:rPr>
          <w:iCs/>
          <w:i/>
        </w:rPr>
        <w:t xml:space="preserve">Forest Ecosystems</w:t>
      </w:r>
      <w:r>
        <w:t xml:space="preserve">,</w:t>
      </w:r>
      <w:r>
        <w:t xml:space="preserve"> </w:t>
      </w:r>
      <w:r>
        <w:rPr>
          <w:iCs/>
          <w:i/>
        </w:rPr>
        <w:t xml:space="preserve">5</w:t>
      </w:r>
      <w:r>
        <w:t xml:space="preserve">(1).</w:t>
      </w:r>
      <w:r>
        <w:t xml:space="preserve"> </w:t>
      </w:r>
      <w:hyperlink r:id="rId222">
        <w:r>
          <w:rPr>
            <w:rStyle w:val="Hyperlink"/>
          </w:rPr>
          <w:t xml:space="preserve">https://doi.org/10.1186/s40663-018-0133-3</w:t>
        </w:r>
      </w:hyperlink>
    </w:p>
    <w:bookmarkEnd w:id="223"/>
    <w:bookmarkStart w:id="225" w:name="ref-schurman_climatic_2019"/>
    <w:p>
      <w:pPr>
        <w:pStyle w:val="Bibliography"/>
      </w:pPr>
      <w:r>
        <w:t xml:space="preserve">Schurman, J. S., Babst, F., Björklund, J., Rydval, M., Bače, R., Čada, V., Janda, P., Mikolas, M., Saulnier, M., Trotsiuk, V., &amp; Svoboda, M. (2019). The climatic drivers of primary</w:t>
      </w:r>
      <w:r>
        <w:t xml:space="preserve"> </w:t>
      </w:r>
      <w:r>
        <w:t xml:space="preserve">Picea</w:t>
      </w:r>
      <w:r>
        <w:t xml:space="preserve"> </w:t>
      </w:r>
      <w:r>
        <w:t xml:space="preserve">forest growth along the</w:t>
      </w:r>
      <w:r>
        <w:t xml:space="preserve"> </w:t>
      </w:r>
      <w:r>
        <w:t xml:space="preserve">Carpathian</w:t>
      </w:r>
      <w:r>
        <w:t xml:space="preserve"> </w:t>
      </w:r>
      <w:r>
        <w:t xml:space="preserve">arc are changing under rising temperatures.</w:t>
      </w:r>
      <w:r>
        <w:t xml:space="preserve"> </w:t>
      </w:r>
      <w:r>
        <w:rPr>
          <w:iCs/>
          <w:i/>
        </w:rPr>
        <w:t xml:space="preserve">Global Change Biology</w:t>
      </w:r>
      <w:r>
        <w:t xml:space="preserve">,</w:t>
      </w:r>
      <w:r>
        <w:t xml:space="preserve"> </w:t>
      </w:r>
      <w:r>
        <w:rPr>
          <w:iCs/>
          <w:i/>
        </w:rPr>
        <w:t xml:space="preserve">25</w:t>
      </w:r>
      <w:r>
        <w:t xml:space="preserve">(9), 3136–3150.</w:t>
      </w:r>
      <w:r>
        <w:t xml:space="preserve"> </w:t>
      </w:r>
      <w:hyperlink r:id="rId224">
        <w:r>
          <w:rPr>
            <w:rStyle w:val="Hyperlink"/>
          </w:rPr>
          <w:t xml:space="preserve">https://doi.org/10.1111/gcb.14721</w:t>
        </w:r>
      </w:hyperlink>
    </w:p>
    <w:bookmarkEnd w:id="225"/>
    <w:bookmarkStart w:id="227" w:name="ref-sheil_does_2017"/>
    <w:p>
      <w:pPr>
        <w:pStyle w:val="Bibliography"/>
      </w:pPr>
      <w:r>
        <w:t xml:space="preserve">Sheil, D., Eastaugh, C. S., Vlam, M., Zuidema, P. A., Groenendijk, P., van der Sleen, P., Jay, A., &amp; Vanclay, J. (2017). Does biomass growth increase in the largest trees?</w:t>
      </w:r>
      <w:r>
        <w:t xml:space="preserve"> </w:t>
      </w:r>
      <w:r>
        <w:t xml:space="preserve">Flaws</w:t>
      </w:r>
      <w:r>
        <w:t xml:space="preserve">, fallacies and alternative analyses.</w:t>
      </w:r>
      <w:r>
        <w:t xml:space="preserve"> </w:t>
      </w:r>
      <w:r>
        <w:rPr>
          <w:iCs/>
          <w:i/>
        </w:rPr>
        <w:t xml:space="preserve">Functional Ecology</w:t>
      </w:r>
      <w:r>
        <w:t xml:space="preserve">,</w:t>
      </w:r>
      <w:r>
        <w:t xml:space="preserve"> </w:t>
      </w:r>
      <w:r>
        <w:rPr>
          <w:iCs/>
          <w:i/>
        </w:rPr>
        <w:t xml:space="preserve">31</w:t>
      </w:r>
      <w:r>
        <w:t xml:space="preserve">(3), 568–581.</w:t>
      </w:r>
      <w:r>
        <w:t xml:space="preserve"> </w:t>
      </w:r>
      <w:hyperlink r:id="rId226">
        <w:r>
          <w:rPr>
            <w:rStyle w:val="Hyperlink"/>
          </w:rPr>
          <w:t xml:space="preserve">https://doi.org/10.1111/1365-2435.12775</w:t>
        </w:r>
      </w:hyperlink>
    </w:p>
    <w:bookmarkEnd w:id="227"/>
    <w:bookmarkStart w:id="229"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228">
        <w:r>
          <w:rPr>
            <w:rStyle w:val="Hyperlink"/>
          </w:rPr>
          <w:t xml:space="preserve">https://doi.org/10.1002/2016JG003528</w:t>
        </w:r>
      </w:hyperlink>
    </w:p>
    <w:bookmarkEnd w:id="229"/>
    <w:bookmarkStart w:id="230"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230"/>
    <w:bookmarkStart w:id="232"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Cs/>
          <w:i/>
        </w:rPr>
        <w:t xml:space="preserve">Nature</w:t>
      </w:r>
      <w:r>
        <w:t xml:space="preserve">,</w:t>
      </w:r>
      <w:r>
        <w:t xml:space="preserve"> </w:t>
      </w:r>
      <w:r>
        <w:rPr>
          <w:iCs/>
          <w:i/>
        </w:rPr>
        <w:t xml:space="preserve">507</w:t>
      </w:r>
      <w:r>
        <w:t xml:space="preserve">, 90–93.</w:t>
      </w:r>
      <w:r>
        <w:t xml:space="preserve"> </w:t>
      </w:r>
      <w:hyperlink r:id="rId231">
        <w:r>
          <w:rPr>
            <w:rStyle w:val="Hyperlink"/>
          </w:rPr>
          <w:t xml:space="preserve">https://doi.org/10.1038/nature12914</w:t>
        </w:r>
      </w:hyperlink>
    </w:p>
    <w:bookmarkEnd w:id="232"/>
    <w:bookmarkStart w:id="233" w:name="ref-stokes_introduction_1968"/>
    <w:p>
      <w:pPr>
        <w:pStyle w:val="Bibliography"/>
      </w:pPr>
      <w:r>
        <w:t xml:space="preserve">Stokes, M. A., &amp; Smiley, T. L. (1968).</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Tree</w:t>
      </w:r>
      <w:r>
        <w:rPr>
          <w:iCs/>
          <w:i/>
        </w:rPr>
        <w:t xml:space="preserve">-ring</w:t>
      </w:r>
      <w:r>
        <w:rPr>
          <w:iCs/>
          <w:i/>
        </w:rPr>
        <w:t xml:space="preserve"> </w:t>
      </w:r>
      <w:r>
        <w:rPr>
          <w:iCs/>
          <w:i/>
        </w:rPr>
        <w:t xml:space="preserve">Dating</w:t>
      </w:r>
      <w:r>
        <w:t xml:space="preserve">.</w:t>
      </w:r>
      <w:r>
        <w:t xml:space="preserve"> </w:t>
      </w:r>
      <w:r>
        <w:t xml:space="preserve">University of Arizona Press</w:t>
      </w:r>
      <w:r>
        <w:t xml:space="preserve">.</w:t>
      </w:r>
    </w:p>
    <w:bookmarkEnd w:id="233"/>
    <w:bookmarkStart w:id="23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w:t>
      </w:r>
      <w:r>
        <w:t xml:space="preserve"> </w:t>
      </w:r>
      <w:r>
        <w:t xml:space="preserve">Earth</w:t>
      </w:r>
      <w:r>
        <w:t xml:space="preserve">’s tropical forests.</w:t>
      </w:r>
      <w:r>
        <w:t xml:space="preserve"> </w:t>
      </w:r>
      <w:r>
        <w:rPr>
          <w:iCs/>
          <w:i/>
        </w:rPr>
        <w:t xml:space="preserve">Science</w:t>
      </w:r>
      <w:r>
        <w:t xml:space="preserve">,</w:t>
      </w:r>
      <w:r>
        <w:t xml:space="preserve"> </w:t>
      </w:r>
      <w:r>
        <w:rPr>
          <w:iCs/>
          <w:i/>
        </w:rPr>
        <w:t xml:space="preserve">368</w:t>
      </w:r>
      <w:r>
        <w:t xml:space="preserve">(6493), 869–874.</w:t>
      </w:r>
      <w:r>
        <w:t xml:space="preserve"> </w:t>
      </w:r>
      <w:hyperlink r:id="rId234">
        <w:r>
          <w:rPr>
            <w:rStyle w:val="Hyperlink"/>
          </w:rPr>
          <w:t xml:space="preserve">https://doi.org/10.1126/science.aaw7578</w:t>
        </w:r>
      </w:hyperlink>
    </w:p>
    <w:bookmarkEnd w:id="235"/>
    <w:bookmarkStart w:id="237" w:name="ref-sullivan_effect_2016"/>
    <w:p>
      <w:pPr>
        <w:pStyle w:val="Bibliography"/>
      </w:pPr>
      <w:r>
        <w:t xml:space="preserve">Sullivan, P. F., Pattison, R. R., Brownlee, A. H., Cahoon, S. M. P., &amp; Hollingsworth, T. N. (2016). Effect of tree-ring detrending method on apparent growth trends of black and white spruce in interior</w:t>
      </w:r>
      <w:r>
        <w:t xml:space="preserve"> </w:t>
      </w:r>
      <w:r>
        <w:t xml:space="preserve">Alaska</w:t>
      </w:r>
      <w:r>
        <w:t xml:space="preserve">.</w:t>
      </w:r>
      <w:r>
        <w:t xml:space="preserve"> </w:t>
      </w:r>
      <w:r>
        <w:rPr>
          <w:iCs/>
          <w:i/>
        </w:rPr>
        <w:t xml:space="preserve">Environmental Research Letters</w:t>
      </w:r>
      <w:r>
        <w:t xml:space="preserve">,</w:t>
      </w:r>
      <w:r>
        <w:t xml:space="preserve"> </w:t>
      </w:r>
      <w:r>
        <w:rPr>
          <w:iCs/>
          <w:i/>
        </w:rPr>
        <w:t xml:space="preserve">11</w:t>
      </w:r>
      <w:r>
        <w:t xml:space="preserve">(11), 114007.</w:t>
      </w:r>
      <w:r>
        <w:t xml:space="preserve"> </w:t>
      </w:r>
      <w:hyperlink r:id="rId236">
        <w:r>
          <w:rPr>
            <w:rStyle w:val="Hyperlink"/>
          </w:rPr>
          <w:t xml:space="preserve">https://doi.org/10.1088/1748-9326/11/11/114007</w:t>
        </w:r>
      </w:hyperlink>
    </w:p>
    <w:bookmarkEnd w:id="237"/>
    <w:bookmarkStart w:id="239" w:name="ref-samonil_longterm_2008"/>
    <w:p>
      <w:pPr>
        <w:pStyle w:val="Bibliography"/>
      </w:pPr>
      <w:r>
        <w:t xml:space="preserve">Šamonil, P., &amp; Vrška, T. (2008). Long-term vegetation dynamics in the</w:t>
      </w:r>
      <w:r>
        <w:t xml:space="preserve"> </w:t>
      </w:r>
      <w:r>
        <w:t xml:space="preserve">Šumava Mts</w:t>
      </w:r>
      <w:r>
        <w:t xml:space="preserve">. Natural spruce-fir-beech forests.</w:t>
      </w:r>
      <w:r>
        <w:t xml:space="preserve"> </w:t>
      </w:r>
      <w:r>
        <w:rPr>
          <w:iCs/>
          <w:i/>
        </w:rPr>
        <w:t xml:space="preserve">Plant Ecology</w:t>
      </w:r>
      <w:r>
        <w:t xml:space="preserve">,</w:t>
      </w:r>
      <w:r>
        <w:t xml:space="preserve"> </w:t>
      </w:r>
      <w:r>
        <w:rPr>
          <w:iCs/>
          <w:i/>
        </w:rPr>
        <w:t xml:space="preserve">196</w:t>
      </w:r>
      <w:r>
        <w:t xml:space="preserve">(2), 197–214.</w:t>
      </w:r>
      <w:r>
        <w:t xml:space="preserve"> </w:t>
      </w:r>
      <w:hyperlink r:id="rId238">
        <w:r>
          <w:rPr>
            <w:rStyle w:val="Hyperlink"/>
          </w:rPr>
          <w:t xml:space="preserve">https://doi.org/10.1007/s11258-007-9345-2</w:t>
        </w:r>
      </w:hyperlink>
    </w:p>
    <w:bookmarkEnd w:id="239"/>
    <w:bookmarkStart w:id="24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Cs/>
          <w:i/>
        </w:rPr>
        <w:t xml:space="preserve">Agricultural and Forest Meteorology</w:t>
      </w:r>
      <w:r>
        <w:t xml:space="preserve">,</w:t>
      </w:r>
      <w:r>
        <w:t xml:space="preserve"> </w:t>
      </w:r>
      <w:r>
        <w:rPr>
          <w:iCs/>
          <w:i/>
        </w:rPr>
        <w:t xml:space="preserve">249</w:t>
      </w:r>
      <w:r>
        <w:t xml:space="preserve">, 479–487.</w:t>
      </w:r>
      <w:r>
        <w:t xml:space="preserve"> </w:t>
      </w:r>
      <w:hyperlink r:id="rId240">
        <w:r>
          <w:rPr>
            <w:rStyle w:val="Hyperlink"/>
          </w:rPr>
          <w:t xml:space="preserve">https://doi.org/10.1016/j.agrformet.2017.08.007</w:t>
        </w:r>
      </w:hyperlink>
    </w:p>
    <w:bookmarkEnd w:id="241"/>
    <w:bookmarkStart w:id="24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Cs/>
          <w:i/>
        </w:rPr>
        <w:t xml:space="preserve">Global Change Biology</w:t>
      </w:r>
      <w:r>
        <w:t xml:space="preserve">,</w:t>
      </w:r>
      <w:r>
        <w:t xml:space="preserve"> </w:t>
      </w:r>
      <w:r>
        <w:rPr>
          <w:iCs/>
          <w:i/>
        </w:rPr>
        <w:t xml:space="preserve">24</w:t>
      </w:r>
      <w:r>
        <w:t xml:space="preserve">(8), 3587–3602.</w:t>
      </w:r>
      <w:r>
        <w:t xml:space="preserve"> </w:t>
      </w:r>
      <w:hyperlink r:id="rId242">
        <w:r>
          <w:rPr>
            <w:rStyle w:val="Hyperlink"/>
          </w:rPr>
          <w:t xml:space="preserve">https://doi.org/10.1111/gcb.14120</w:t>
        </w:r>
      </w:hyperlink>
    </w:p>
    <w:bookmarkEnd w:id="243"/>
    <w:bookmarkStart w:id="245" w:name="ref-thomas_agerelated_2011"/>
    <w:p>
      <w:pPr>
        <w:pStyle w:val="Bibliography"/>
      </w:pPr>
      <w:r>
        <w:t xml:space="preserve">Thomas, S. C. (2011). Age-</w:t>
      </w:r>
      <w:r>
        <w:t xml:space="preserve">Related Changes</w:t>
      </w:r>
      <w:r>
        <w:t xml:space="preserve"> </w:t>
      </w:r>
      <w:r>
        <w:t xml:space="preserve">in</w:t>
      </w:r>
      <w:r>
        <w:t xml:space="preserve"> </w:t>
      </w:r>
      <w:r>
        <w:t xml:space="preserve">Tree Growth</w:t>
      </w:r>
      <w:r>
        <w:t xml:space="preserve"> </w:t>
      </w:r>
      <w:r>
        <w:t xml:space="preserve">and</w:t>
      </w:r>
      <w:r>
        <w:t xml:space="preserve"> </w:t>
      </w:r>
      <w:r>
        <w:t xml:space="preserve">Functional Biology</w:t>
      </w:r>
      <w:r>
        <w:t xml:space="preserve">:</w:t>
      </w:r>
      <w:r>
        <w:t xml:space="preserve"> </w:t>
      </w:r>
      <w:r>
        <w:t xml:space="preserve">The Role</w:t>
      </w:r>
      <w:r>
        <w:t xml:space="preserve"> </w:t>
      </w:r>
      <w:r>
        <w:t xml:space="preserve">of</w:t>
      </w:r>
      <w:r>
        <w:t xml:space="preserve"> </w:t>
      </w:r>
      <w:r>
        <w:t xml:space="preserve">Reproduction</w:t>
      </w:r>
      <w:r>
        <w:t xml:space="preserve">. In F. C. Meinzer, B. Lachenbruch, &amp; T. E. Dawson (Eds.),</w:t>
      </w:r>
      <w:r>
        <w:t xml:space="preserve"> </w:t>
      </w:r>
      <w:r>
        <w:rPr>
          <w:iCs/>
          <w:i/>
        </w:rPr>
        <w:t xml:space="preserve">Size- and</w:t>
      </w:r>
      <w:r>
        <w:rPr>
          <w:iCs/>
          <w:i/>
        </w:rPr>
        <w:t xml:space="preserve"> </w:t>
      </w:r>
      <w:r>
        <w:rPr>
          <w:iCs/>
          <w:i/>
        </w:rPr>
        <w:t xml:space="preserve">Age</w:t>
      </w:r>
      <w:r>
        <w:rPr>
          <w:iCs/>
          <w:i/>
        </w:rPr>
        <w:t xml:space="preserve">-</w:t>
      </w:r>
      <w:r>
        <w:rPr>
          <w:iCs/>
          <w:i/>
        </w:rPr>
        <w:t xml:space="preserve">Related Changes</w:t>
      </w:r>
      <w:r>
        <w:rPr>
          <w:iCs/>
          <w:i/>
        </w:rPr>
        <w:t xml:space="preserve"> </w:t>
      </w:r>
      <w:r>
        <w:rPr>
          <w:iCs/>
          <w:i/>
        </w:rPr>
        <w:t xml:space="preserve">in</w:t>
      </w:r>
      <w:r>
        <w:rPr>
          <w:iCs/>
          <w:i/>
        </w:rPr>
        <w:t xml:space="preserve"> </w:t>
      </w:r>
      <w:r>
        <w:rPr>
          <w:iCs/>
          <w:i/>
        </w:rPr>
        <w:t xml:space="preserve">Tree Structure</w:t>
      </w:r>
      <w:r>
        <w:rPr>
          <w:iCs/>
          <w:i/>
        </w:rPr>
        <w:t xml:space="preserve"> </w:t>
      </w:r>
      <w:r>
        <w:rPr>
          <w:iCs/>
          <w:i/>
        </w:rPr>
        <w:t xml:space="preserve">and</w:t>
      </w:r>
      <w:r>
        <w:rPr>
          <w:iCs/>
          <w:i/>
        </w:rPr>
        <w:t xml:space="preserve"> </w:t>
      </w:r>
      <w:r>
        <w:rPr>
          <w:iCs/>
          <w:i/>
        </w:rPr>
        <w:t xml:space="preserve">Function</w:t>
      </w:r>
      <w:r>
        <w:t xml:space="preserve"> </w:t>
      </w:r>
      <w:r>
        <w:t xml:space="preserve">(Vol. 4, pp. 33–64).</w:t>
      </w:r>
      <w:r>
        <w:t xml:space="preserve"> </w:t>
      </w:r>
      <w:r>
        <w:t xml:space="preserve">Springer Netherlands</w:t>
      </w:r>
      <w:r>
        <w:t xml:space="preserve">.</w:t>
      </w:r>
      <w:r>
        <w:t xml:space="preserve"> </w:t>
      </w:r>
      <w:hyperlink r:id="rId244">
        <w:r>
          <w:rPr>
            <w:rStyle w:val="Hyperlink"/>
          </w:rPr>
          <w:t xml:space="preserve">https://doi.org/10.1007/978-94-007-1242-3_2</w:t>
        </w:r>
      </w:hyperlink>
    </w:p>
    <w:bookmarkEnd w:id="245"/>
    <w:bookmarkStart w:id="247"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Cs/>
          <w:i/>
        </w:rPr>
        <w:t xml:space="preserve">Climate of the Past</w:t>
      </w:r>
      <w:r>
        <w:t xml:space="preserve">,</w:t>
      </w:r>
      <w:r>
        <w:t xml:space="preserve"> </w:t>
      </w:r>
      <w:r>
        <w:rPr>
          <w:iCs/>
          <w:i/>
        </w:rPr>
        <w:t xml:space="preserve">9</w:t>
      </w:r>
      <w:r>
        <w:t xml:space="preserve">(4), 1481–1493.</w:t>
      </w:r>
      <w:r>
        <w:t xml:space="preserve"> </w:t>
      </w:r>
      <w:hyperlink r:id="rId246">
        <w:r>
          <w:rPr>
            <w:rStyle w:val="Hyperlink"/>
          </w:rPr>
          <w:t xml:space="preserve">https://doi.org/10.5194/cp-9-1481-2013</w:t>
        </w:r>
      </w:hyperlink>
    </w:p>
    <w:bookmarkEnd w:id="247"/>
    <w:bookmarkStart w:id="249"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changingb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248">
        <w:r>
          <w:rPr>
            <w:rStyle w:val="Hyperlink"/>
          </w:rPr>
          <w:t xml:space="preserve">https://doi.org/10.1002/joc.2117</w:t>
        </w:r>
      </w:hyperlink>
    </w:p>
    <w:bookmarkEnd w:id="249"/>
    <w:bookmarkStart w:id="251" w:name="ref-trouillier_size_2019"/>
    <w:p>
      <w:pPr>
        <w:pStyle w:val="Bibliography"/>
      </w:pPr>
      <w:r>
        <w:t xml:space="preserve">Trouillier, M., van der Maaten-Theunissen, M., Scharnweber, T., Würth, D., Burger, A., Schnittler, M., &amp; Wilmking, M. (2019). Size matters</w:t>
      </w:r>
      <w:r>
        <w:t xml:space="preserve">a comparison of three methods to assess age- and size-dependent climate sensitivity of trees.</w:t>
      </w:r>
      <w:r>
        <w:t xml:space="preserve"> </w:t>
      </w:r>
      <w:r>
        <w:rPr>
          <w:iCs/>
          <w:i/>
        </w:rPr>
        <w:t xml:space="preserve">Trees</w:t>
      </w:r>
      <w:r>
        <w:t xml:space="preserve">,</w:t>
      </w:r>
      <w:r>
        <w:t xml:space="preserve"> </w:t>
      </w:r>
      <w:r>
        <w:rPr>
          <w:iCs/>
          <w:i/>
        </w:rPr>
        <w:t xml:space="preserve">33</w:t>
      </w:r>
      <w:r>
        <w:t xml:space="preserve">(1), 183–192.</w:t>
      </w:r>
      <w:r>
        <w:t xml:space="preserve"> </w:t>
      </w:r>
      <w:hyperlink r:id="rId250">
        <w:r>
          <w:rPr>
            <w:rStyle w:val="Hyperlink"/>
          </w:rPr>
          <w:t xml:space="preserve">https://doi.org/10.1007/s00468-018-1767-z</w:t>
        </w:r>
      </w:hyperlink>
    </w:p>
    <w:bookmarkEnd w:id="251"/>
    <w:bookmarkStart w:id="253"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252">
        <w:r>
          <w:rPr>
            <w:rStyle w:val="Hyperlink"/>
          </w:rPr>
          <w:t xml:space="preserve">https://doi.org/10.1016/j.agrformet.2017.07.015</w:t>
        </w:r>
      </w:hyperlink>
    </w:p>
    <w:bookmarkEnd w:id="253"/>
    <w:bookmarkStart w:id="255" w:name="ref-vandepol_identifying_2016"/>
    <w:p>
      <w:pPr>
        <w:pStyle w:val="Bibliography"/>
      </w:pPr>
      <w:r>
        <w:t xml:space="preserve">van de Pol, M., Bailey, L. D., McLean, N., Rijsdijk, L., Lawson, C. R., &amp; Brouwer, L. (2016). Identifying the best climatic predictors in ecology and evolution.</w:t>
      </w:r>
      <w:r>
        <w:t xml:space="preserve"> </w:t>
      </w:r>
      <w:r>
        <w:rPr>
          <w:iCs/>
          <w:i/>
        </w:rPr>
        <w:t xml:space="preserve">Methods in Ecology and Evolution</w:t>
      </w:r>
      <w:r>
        <w:t xml:space="preserve">,</w:t>
      </w:r>
      <w:r>
        <w:t xml:space="preserve"> </w:t>
      </w:r>
      <w:r>
        <w:rPr>
          <w:iCs/>
          <w:i/>
        </w:rPr>
        <w:t xml:space="preserve">7</w:t>
      </w:r>
      <w:r>
        <w:t xml:space="preserve">(10), 1246–1257.</w:t>
      </w:r>
      <w:r>
        <w:t xml:space="preserve"> </w:t>
      </w:r>
      <w:hyperlink r:id="rId254">
        <w:r>
          <w:rPr>
            <w:rStyle w:val="Hyperlink"/>
          </w:rPr>
          <w:t xml:space="preserve">https://doi.org/10.1111/2041-210X.12590</w:t>
        </w:r>
      </w:hyperlink>
    </w:p>
    <w:bookmarkEnd w:id="255"/>
    <w:bookmarkStart w:id="257" w:name="ref-vandersleen_no_2015"/>
    <w:p>
      <w:pPr>
        <w:pStyle w:val="Bibliography"/>
      </w:pPr>
      <w:r>
        <w:t xml:space="preserve">van der Sleen, P., Groenendijk, P., Vlam, M., Anten, N. P. R., Boom, A., Bongers, F., Pons, T. L., Terburg, G., &amp; Zuidema, P. A. (2015). No growth stimulation of tropical trees by 150 years of</w:t>
      </w:r>
      <w:r>
        <w:t xml:space="preserve"> </w:t>
      </w:r>
      <w:r>
        <w:t xml:space="preserve">CO2</w:t>
      </w:r>
      <w:r>
        <w:t xml:space="preserve"> </w:t>
      </w:r>
      <w:r>
        <w:t xml:space="preserve">fertilization but water-use efficiency increased.</w:t>
      </w:r>
      <w:r>
        <w:t xml:space="preserve"> </w:t>
      </w:r>
      <w:r>
        <w:rPr>
          <w:iCs/>
          <w:i/>
        </w:rPr>
        <w:t xml:space="preserve">Nature Geoscience</w:t>
      </w:r>
      <w:r>
        <w:t xml:space="preserve">,</w:t>
      </w:r>
      <w:r>
        <w:t xml:space="preserve"> </w:t>
      </w:r>
      <w:r>
        <w:rPr>
          <w:iCs/>
          <w:i/>
        </w:rPr>
        <w:t xml:space="preserve">8</w:t>
      </w:r>
      <w:r>
        <w:t xml:space="preserve">(1), 24–28.</w:t>
      </w:r>
      <w:r>
        <w:t xml:space="preserve"> </w:t>
      </w:r>
      <w:hyperlink r:id="rId256">
        <w:r>
          <w:rPr>
            <w:rStyle w:val="Hyperlink"/>
          </w:rPr>
          <w:t xml:space="preserve">https://doi.org/10.1038/ngeo2313</w:t>
        </w:r>
      </w:hyperlink>
    </w:p>
    <w:bookmarkEnd w:id="257"/>
    <w:bookmarkStart w:id="259"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258">
        <w:r>
          <w:rPr>
            <w:rStyle w:val="Hyperlink"/>
          </w:rPr>
          <w:t xml:space="preserve">https://doi.org/10.1007/s00442-013-2846-x</w:t>
        </w:r>
      </w:hyperlink>
    </w:p>
    <w:bookmarkEnd w:id="259"/>
    <w:bookmarkStart w:id="261" w:name="ref-voelker_historical_2006"/>
    <w:p>
      <w:pPr>
        <w:pStyle w:val="Bibliography"/>
      </w:pPr>
      <w:r>
        <w:t xml:space="preserve">Voelker, S. L., Muzika, R.-M., Guyette, R. P., &amp; Stambaugh, M. C. (2006). Historical</w:t>
      </w:r>
      <w:r>
        <w:t xml:space="preserve"> </w:t>
      </w:r>
      <w:r>
        <w:t xml:space="preserve">Co2 Growth Enhancement Declines</w:t>
      </w:r>
      <w:r>
        <w:t xml:space="preserve"> </w:t>
      </w:r>
      <w:r>
        <w:t xml:space="preserve">with</w:t>
      </w:r>
      <w:r>
        <w:t xml:space="preserve"> </w:t>
      </w:r>
      <w:r>
        <w:t xml:space="preserve">Age</w:t>
      </w:r>
      <w:r>
        <w:t xml:space="preserve"> </w:t>
      </w:r>
      <w:r>
        <w:t xml:space="preserve">in</w:t>
      </w:r>
      <w:r>
        <w:t xml:space="preserve"> </w:t>
      </w:r>
      <w:r>
        <w:t xml:space="preserve">Quercus</w:t>
      </w:r>
      <w:r>
        <w:t xml:space="preserve"> </w:t>
      </w:r>
      <w:r>
        <w:t xml:space="preserve">and</w:t>
      </w:r>
      <w:r>
        <w:t xml:space="preserve"> </w:t>
      </w:r>
      <w:r>
        <w:t xml:space="preserve">Pinus</w:t>
      </w:r>
      <w:r>
        <w:t xml:space="preserve">.</w:t>
      </w:r>
      <w:r>
        <w:t xml:space="preserve"> </w:t>
      </w:r>
      <w:r>
        <w:rPr>
          <w:iCs/>
          <w:i/>
        </w:rPr>
        <w:t xml:space="preserve">Ecological Monographs</w:t>
      </w:r>
      <w:r>
        <w:t xml:space="preserve">,</w:t>
      </w:r>
      <w:r>
        <w:t xml:space="preserve"> </w:t>
      </w:r>
      <w:r>
        <w:rPr>
          <w:iCs/>
          <w:i/>
        </w:rPr>
        <w:t xml:space="preserve">76</w:t>
      </w:r>
      <w:r>
        <w:t xml:space="preserve">(4), 549–564.</w:t>
      </w:r>
      <w:r>
        <w:t xml:space="preserve"> </w:t>
      </w:r>
      <w:hyperlink r:id="rId260">
        <w:r>
          <w:rPr>
            <w:rStyle w:val="Hyperlink"/>
          </w:rPr>
          <w:t xml:space="preserve">https://doi.org/10.1890/0012-9615(2006)076[0549:HCGEDW]2.0.CO;2</w:t>
        </w:r>
      </w:hyperlink>
    </w:p>
    <w:bookmarkEnd w:id="261"/>
    <w:bookmarkStart w:id="263" w:name="ref-vrska_european_2009"/>
    <w:p>
      <w:pPr>
        <w:pStyle w:val="Bibliography"/>
      </w:pPr>
      <w:r>
        <w:t xml:space="preserve">Vrška, T., Adam, D., Hort, L., Kolář, T., &amp; Janík, D. (2009). European beech (</w:t>
      </w:r>
      <w:r>
        <w:t xml:space="preserve">Fagus</w:t>
      </w:r>
      <w:r>
        <w:t xml:space="preserve"> </w:t>
      </w:r>
      <w:r>
        <w:t xml:space="preserve">sylvatica</w:t>
      </w:r>
      <w:r>
        <w:t xml:space="preserve"> </w:t>
      </w:r>
      <w:r>
        <w:t xml:space="preserve">L</w:t>
      </w:r>
      <w:r>
        <w:t xml:space="preserve">.) And silver fir (</w:t>
      </w:r>
      <w:r>
        <w:t xml:space="preserve">Abies</w:t>
      </w:r>
      <w:r>
        <w:t xml:space="preserve"> </w:t>
      </w:r>
      <w:r>
        <w:t xml:space="preserve">alba</w:t>
      </w:r>
      <w:r>
        <w:t xml:space="preserve"> </w:t>
      </w:r>
      <w:r>
        <w:t xml:space="preserve">Mill</w:t>
      </w:r>
      <w:r>
        <w:t xml:space="preserve">.) Rotation in the</w:t>
      </w:r>
      <w:r>
        <w:t xml:space="preserve"> </w:t>
      </w:r>
      <w:r>
        <w:t xml:space="preserve">Carpathians</w:t>
      </w:r>
      <w:r>
        <w:t xml:space="preserve">A</w:t>
      </w:r>
      <w:r>
        <w:t xml:space="preserve"> </w:t>
      </w:r>
      <w:r>
        <w:t xml:space="preserve">developmental cycle or a linear trend induced by man?</w:t>
      </w:r>
      <w:r>
        <w:t xml:space="preserve"> </w:t>
      </w:r>
      <w:r>
        <w:rPr>
          <w:iCs/>
          <w:i/>
        </w:rPr>
        <w:t xml:space="preserve">Forest Ecology and Management</w:t>
      </w:r>
      <w:r>
        <w:t xml:space="preserve">,</w:t>
      </w:r>
      <w:r>
        <w:t xml:space="preserve"> </w:t>
      </w:r>
      <w:r>
        <w:rPr>
          <w:iCs/>
          <w:i/>
        </w:rPr>
        <w:t xml:space="preserve">258</w:t>
      </w:r>
      <w:r>
        <w:t xml:space="preserve">(4), 347–356.</w:t>
      </w:r>
      <w:r>
        <w:t xml:space="preserve"> </w:t>
      </w:r>
      <w:hyperlink r:id="rId262">
        <w:r>
          <w:rPr>
            <w:rStyle w:val="Hyperlink"/>
          </w:rPr>
          <w:t xml:space="preserve">https://doi.org/10.1016/j.foreco.2009.03.007</w:t>
        </w:r>
      </w:hyperlink>
    </w:p>
    <w:bookmarkEnd w:id="263"/>
    <w:bookmarkStart w:id="265"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w:t>
      </w:r>
      <w:r>
        <w:t xml:space="preserve"> </w:t>
      </w:r>
      <w:r>
        <w:t xml:space="preserve">CO2</w:t>
      </w:r>
      <w:r>
        <w:t xml:space="preserve">.</w:t>
      </w:r>
      <w:r>
        <w:t xml:space="preserve"> </w:t>
      </w:r>
      <w:r>
        <w:rPr>
          <w:iCs/>
          <w:i/>
        </w:rPr>
        <w:t xml:space="preserve">New Phytologist</w:t>
      </w:r>
      <w:r>
        <w:t xml:space="preserve">,</w:t>
      </w:r>
      <w:r>
        <w:t xml:space="preserve"> </w:t>
      </w:r>
      <w:r>
        <w:rPr>
          <w:iCs/>
          <w:i/>
        </w:rPr>
        <w:t xml:space="preserve">n/a</w:t>
      </w:r>
      <w:r>
        <w:t xml:space="preserve">(n/a).</w:t>
      </w:r>
      <w:r>
        <w:t xml:space="preserve"> </w:t>
      </w:r>
      <w:hyperlink r:id="rId264">
        <w:r>
          <w:rPr>
            <w:rStyle w:val="Hyperlink"/>
          </w:rPr>
          <w:t xml:space="preserve">https://doi.org/10.1111/nph.16866</w:t>
        </w:r>
      </w:hyperlink>
    </w:p>
    <w:bookmarkEnd w:id="265"/>
    <w:bookmarkStart w:id="267"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266">
        <w:r>
          <w:rPr>
            <w:rStyle w:val="Hyperlink"/>
          </w:rPr>
          <w:t xml:space="preserve">https://doi.org/10.1038/nclimate1693</w:t>
        </w:r>
      </w:hyperlink>
    </w:p>
    <w:bookmarkEnd w:id="267"/>
    <w:bookmarkStart w:id="269"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Cs/>
          <w:i/>
        </w:rPr>
        <w:t xml:space="preserve">Global Change Biology</w:t>
      </w:r>
      <w:r>
        <w:t xml:space="preserve">,</w:t>
      </w:r>
      <w:r>
        <w:t xml:space="preserve"> </w:t>
      </w:r>
      <w:r>
        <w:rPr>
          <w:iCs/>
          <w:i/>
        </w:rPr>
        <w:t xml:space="preserve">26</w:t>
      </w:r>
      <w:r>
        <w:t xml:space="preserve">(6), 3212–3220.</w:t>
      </w:r>
      <w:r>
        <w:t xml:space="preserve"> </w:t>
      </w:r>
      <w:hyperlink r:id="rId268">
        <w:r>
          <w:rPr>
            <w:rStyle w:val="Hyperlink"/>
          </w:rPr>
          <w:t xml:space="preserve">https://doi.org/10.1111/gcb.15057</w:t>
        </w:r>
      </w:hyperlink>
    </w:p>
    <w:bookmarkEnd w:id="269"/>
    <w:bookmarkStart w:id="271" w:name="ref-wood_fast_2011"/>
    <w:p>
      <w:pPr>
        <w:pStyle w:val="Bibliography"/>
      </w:pPr>
      <w:r>
        <w:t xml:space="preserve">Wood, S. N. (2011). Fast stable restricted maximum likelihood and marginal likelihood estimation of semiparametric generalized linear models:</w:t>
      </w:r>
      <w:r>
        <w:t xml:space="preserve"> </w:t>
      </w:r>
      <w:r>
        <w:t xml:space="preserve">Estimation</w:t>
      </w:r>
      <w:r>
        <w:t xml:space="preserve"> </w:t>
      </w:r>
      <w:r>
        <w:t xml:space="preserve">of</w:t>
      </w:r>
      <w:r>
        <w:t xml:space="preserve"> </w:t>
      </w:r>
      <w:r>
        <w:t xml:space="preserve">Semiparametric Generalized Linear Models</w:t>
      </w:r>
      <w:r>
        <w:t xml:space="preserve">.</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(1), 3–36.</w:t>
      </w:r>
      <w:r>
        <w:t xml:space="preserve"> </w:t>
      </w:r>
      <w:hyperlink r:id="rId270">
        <w:r>
          <w:rPr>
            <w:rStyle w:val="Hyperlink"/>
          </w:rPr>
          <w:t xml:space="preserve">https://doi.org/10.1111/j.1467-9868.2010.00749.x</w:t>
        </w:r>
      </w:hyperlink>
    </w:p>
    <w:bookmarkEnd w:id="271"/>
    <w:bookmarkStart w:id="273" w:name="ref-woodhouse_artificial_1999"/>
    <w:p>
      <w:pPr>
        <w:pStyle w:val="Bibliography"/>
      </w:pPr>
      <w:r>
        <w:t xml:space="preserve">Woodhouse, C. A. (1999). Artificial neural networks and dendroclimatic reconstructions: An example from the</w:t>
      </w:r>
      <w:r>
        <w:t xml:space="preserve"> </w:t>
      </w:r>
      <w:r>
        <w:t xml:space="preserve">Front Range</w:t>
      </w:r>
      <w:r>
        <w:t xml:space="preserve">,</w:t>
      </w:r>
      <w:r>
        <w:t xml:space="preserve"> </w:t>
      </w:r>
      <w:r>
        <w:t xml:space="preserve">Colorado</w:t>
      </w:r>
      <w:r>
        <w:t xml:space="preserve">,</w:t>
      </w:r>
      <w:r>
        <w:t xml:space="preserve"> </w:t>
      </w:r>
      <w:r>
        <w:t xml:space="preserve">USA</w:t>
      </w:r>
      <w:r>
        <w:t xml:space="preserve">:</w:t>
      </w:r>
      <w:r>
        <w:t xml:space="preserve"> </w:t>
      </w:r>
      <w:r>
        <w:rPr>
          <w:iCs/>
          <w:i/>
        </w:rPr>
        <w:t xml:space="preserve">The Holocene</w:t>
      </w:r>
      <w:r>
        <w:t xml:space="preserve">.</w:t>
      </w:r>
      <w:r>
        <w:t xml:space="preserve"> </w:t>
      </w:r>
      <w:hyperlink r:id="rId272">
        <w:r>
          <w:rPr>
            <w:rStyle w:val="Hyperlink"/>
          </w:rPr>
          <w:t xml:space="preserve">https://doi.org/10.1191/095968399667128516</w:t>
        </w:r>
      </w:hyperlink>
    </w:p>
    <w:bookmarkEnd w:id="273"/>
    <w:bookmarkStart w:id="275"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274">
        <w:r>
          <w:rPr>
            <w:rStyle w:val="Hyperlink"/>
          </w:rPr>
          <w:t xml:space="preserve">https://doi.org/10.1016/j.dendro.2012.08.001</w:t>
        </w:r>
      </w:hyperlink>
    </w:p>
    <w:bookmarkEnd w:id="275"/>
    <w:bookmarkStart w:id="277" w:name="ref-zang_treeclim_2015"/>
    <w:p>
      <w:pPr>
        <w:pStyle w:val="Bibliography"/>
      </w:pPr>
      <w:r>
        <w:t xml:space="preserve">Zang, C., &amp; Biondi, F. (2015). Treeclim : An</w:t>
      </w:r>
      <w:r>
        <w:t xml:space="preserve"> </w:t>
      </w:r>
      <w:r>
        <w:t xml:space="preserve">R</w:t>
      </w:r>
      <w:r>
        <w:t xml:space="preserve"> </w:t>
      </w:r>
      <w:r>
        <w:t xml:space="preserve">package for the numerical calibration of proxy-climate relationships.</w:t>
      </w:r>
      <w:r>
        <w:t xml:space="preserve"> </w:t>
      </w:r>
      <w:r>
        <w:rPr>
          <w:iCs/>
          <w:i/>
        </w:rPr>
        <w:t xml:space="preserve">Ecography</w:t>
      </w:r>
      <w:r>
        <w:t xml:space="preserve">,</w:t>
      </w:r>
      <w:r>
        <w:t xml:space="preserve"> </w:t>
      </w:r>
      <w:r>
        <w:rPr>
          <w:iCs/>
          <w:i/>
        </w:rPr>
        <w:t xml:space="preserve">38</w:t>
      </w:r>
      <w:r>
        <w:t xml:space="preserve">(4), 431–436.</w:t>
      </w:r>
      <w:r>
        <w:t xml:space="preserve"> </w:t>
      </w:r>
      <w:hyperlink r:id="rId276">
        <w:r>
          <w:rPr>
            <w:rStyle w:val="Hyperlink"/>
          </w:rPr>
          <w:t xml:space="preserve">https://doi.org/10.1111/ecog.01335</w:t>
        </w:r>
      </w:hyperlink>
    </w:p>
    <w:bookmarkEnd w:id="277"/>
    <w:bookmarkStart w:id="279" w:name="ref-zuidema_recent_2020"/>
    <w:p>
      <w:pPr>
        <w:pStyle w:val="Bibliography"/>
      </w:pPr>
      <w:r>
        <w:t xml:space="preserve">Zuidema, P. A., Heinrich, I., Rahman, M., Vlam, M., Zwartsenberg, S. A., &amp; Sleen, P. (2020). Recent</w:t>
      </w:r>
      <w:r>
        <w:t xml:space="preserve"> </w:t>
      </w:r>
      <w:r>
        <w:t xml:space="preserve">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Cs/>
          <w:i/>
        </w:rPr>
        <w:t xml:space="preserve">Global Change Biology</w:t>
      </w:r>
      <w:r>
        <w:t xml:space="preserve">,</w:t>
      </w:r>
      <w:r>
        <w:t xml:space="preserve"> </w:t>
      </w:r>
      <w:r>
        <w:rPr>
          <w:iCs/>
          <w:i/>
        </w:rPr>
        <w:t xml:space="preserve">26</w:t>
      </w:r>
      <w:r>
        <w:t xml:space="preserve">(7), 4028–4041.</w:t>
      </w:r>
      <w:r>
        <w:t xml:space="preserve"> </w:t>
      </w:r>
      <w:hyperlink r:id="rId278">
        <w:r>
          <w:rPr>
            <w:rStyle w:val="Hyperlink"/>
          </w:rPr>
          <w:t xml:space="preserve">https://doi.org/10.1111/gcb.15092</w:t>
        </w:r>
      </w:hyperlink>
    </w:p>
    <w:bookmarkEnd w:id="279"/>
    <w:bookmarkEnd w:id="280"/>
    <w:bookmarkEnd w:id="281"/>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8"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6" Target="https://doi.org/10.1002/ecy.3264" TargetMode="External" /><Relationship Type="http://schemas.openxmlformats.org/officeDocument/2006/relationships/hyperlink" Id="rId248"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4"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8"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0"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6" Target="https://doi.org/10.1007/s10584-016-1720-3" TargetMode="External" /><Relationship Type="http://schemas.openxmlformats.org/officeDocument/2006/relationships/hyperlink" Id="rId238"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2" Target="https://doi.org/10.1016/j.agrformet.2017.07.015" TargetMode="External" /><Relationship Type="http://schemas.openxmlformats.org/officeDocument/2006/relationships/hyperlink" Id="rId240"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4" Target="https://doi.org/10.1016/j.cageo.2011.01.013" TargetMode="External" /><Relationship Type="http://schemas.openxmlformats.org/officeDocument/2006/relationships/hyperlink" Id="rId274" Target="https://doi.org/10.1016/j.dendro.2012.08.001" TargetMode="External" /><Relationship Type="http://schemas.openxmlformats.org/officeDocument/2006/relationships/hyperlink" Id="rId178" Target="https://doi.org/10.1016/j.dendro.2019.125652" TargetMode="External" /><Relationship Type="http://schemas.openxmlformats.org/officeDocument/2006/relationships/hyperlink" Id="rId212"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2"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20"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31" Target="https://doi.org/10.1038/nature12914" TargetMode="External" /><Relationship Type="http://schemas.openxmlformats.org/officeDocument/2006/relationships/hyperlink" Id="rId266" Target="https://doi.org/10.1038/nclimate1693" TargetMode="External" /><Relationship Type="http://schemas.openxmlformats.org/officeDocument/2006/relationships/hyperlink" Id="rId256"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0"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6"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36" Target="https://doi.org/10.1088/1748-9326/11/11/114007" TargetMode="External" /><Relationship Type="http://schemas.openxmlformats.org/officeDocument/2006/relationships/hyperlink" Id="rId168" Target="https://doi.org/10.1088/1748-9326/abd8fb" TargetMode="External" /><Relationship Type="http://schemas.openxmlformats.org/officeDocument/2006/relationships/hyperlink" Id="rId172"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6"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54" Target="https://doi.org/10.1111/2041-210X.12590" TargetMode="External" /><Relationship Type="http://schemas.openxmlformats.org/officeDocument/2006/relationships/hyperlink" Id="rId214" Target="https://doi.org/10.1111/2041-210X.12753" TargetMode="External" /><Relationship Type="http://schemas.openxmlformats.org/officeDocument/2006/relationships/hyperlink" Id="rId276"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5" Target="https://doi.org/10.1111/ele.13575" TargetMode="External" /><Relationship Type="http://schemas.openxmlformats.org/officeDocument/2006/relationships/hyperlink" Id="rId199"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7"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2" Target="https://doi.org/10.1111/gcb.14120" TargetMode="External" /><Relationship Type="http://schemas.openxmlformats.org/officeDocument/2006/relationships/hyperlink" Id="rId184"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24" Target="https://doi.org/10.1111/gcb.14721" TargetMode="External" /><Relationship Type="http://schemas.openxmlformats.org/officeDocument/2006/relationships/hyperlink" Id="rId268" Target="https://doi.org/10.1111/gcb.15057" TargetMode="External" /><Relationship Type="http://schemas.openxmlformats.org/officeDocument/2006/relationships/hyperlink" Id="rId278" Target="https://doi.org/10.1111/gcb.15092" TargetMode="External" /><Relationship Type="http://schemas.openxmlformats.org/officeDocument/2006/relationships/hyperlink" Id="rId201" Target="https://doi.org/10.1111/j.1365-2486.2010.02222.x" TargetMode="External" /><Relationship Type="http://schemas.openxmlformats.org/officeDocument/2006/relationships/hyperlink" Id="rId270" Target="https://doi.org/10.1111/j.1467-9868.2010.00749.x" TargetMode="External" /><Relationship Type="http://schemas.openxmlformats.org/officeDocument/2006/relationships/hyperlink" Id="rId218" Target="https://doi.org/10.1111/j.1469-8137.2007.02235.x" TargetMode="External" /><Relationship Type="http://schemas.openxmlformats.org/officeDocument/2006/relationships/hyperlink" Id="rId197" Target="https://doi.org/10.1111/j.1600-0587.2013.00205.x" TargetMode="External" /><Relationship Type="http://schemas.openxmlformats.org/officeDocument/2006/relationships/hyperlink" Id="rId166" Target="https://doi.org/10.1111/jbi.13199" TargetMode="External" /><Relationship Type="http://schemas.openxmlformats.org/officeDocument/2006/relationships/hyperlink" Id="rId192" Target="https://doi.org/10.1111/nph.14633" TargetMode="External" /><Relationship Type="http://schemas.openxmlformats.org/officeDocument/2006/relationships/hyperlink" Id="rId174"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64" Target="https://doi.org/10.1111/nph.16866" TargetMode="External" /><Relationship Type="http://schemas.openxmlformats.org/officeDocument/2006/relationships/hyperlink" Id="rId190"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34" Target="https://doi.org/10.1126/science.aaw7578" TargetMode="External" /><Relationship Type="http://schemas.openxmlformats.org/officeDocument/2006/relationships/hyperlink" Id="rId188"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0"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2" Target="https://doi.org/10.1186/s40663-018-0133-3" TargetMode="External" /><Relationship Type="http://schemas.openxmlformats.org/officeDocument/2006/relationships/hyperlink" Id="rId210" Target="https://doi.org/10.1186/s40663-018-0139-x" TargetMode="External" /><Relationship Type="http://schemas.openxmlformats.org/officeDocument/2006/relationships/hyperlink" Id="rId272" Target="https://doi.org/10.1191/095968399667128516" TargetMode="External" /><Relationship Type="http://schemas.openxmlformats.org/officeDocument/2006/relationships/hyperlink" Id="rId260"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82" Target="https://doi.org/10.2307/1941026" TargetMode="External" /><Relationship Type="http://schemas.openxmlformats.org/officeDocument/2006/relationships/hyperlink" Id="rId203"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6"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1" Target="0000-0001-8644-7345" TargetMode="External" /><Relationship Type="http://schemas.openxmlformats.org/officeDocument/2006/relationships/hyperlink" Id="rId23" Target="0000-0002-2560-0710" TargetMode="External" /><Relationship Type="http://schemas.openxmlformats.org/officeDocument/2006/relationships/hyperlink" Id="rId25" Target="0000-0002-5701-9613" TargetMode="External" /><Relationship Type="http://schemas.openxmlformats.org/officeDocument/2006/relationships/hyperlink" Id="rId26" Target="0000-0002-6070-5956" TargetMode="External" /><Relationship Type="http://schemas.openxmlformats.org/officeDocument/2006/relationships/hyperlink" Id="rId24" Target="0000-0002-7722-8797" TargetMode="External" /><Relationship Type="http://schemas.openxmlformats.org/officeDocument/2006/relationships/hyperlink" Id="rId22" Target="0000-0003-1780-6310" TargetMode="External" /><Relationship Type="http://schemas.openxmlformats.org/officeDocument/2006/relationships/hyperlink" Id="rId228" Target="https://doi.org/10.1002/2016JG003528" TargetMode="External" /><Relationship Type="http://schemas.openxmlformats.org/officeDocument/2006/relationships/hyperlink" Id="rId132" Target="https://doi.org/10.1002/ecm.1423" TargetMode="External" /><Relationship Type="http://schemas.openxmlformats.org/officeDocument/2006/relationships/hyperlink" Id="rId122" Target="https://doi.org/10.1002/ecs2.1454" TargetMode="External" /><Relationship Type="http://schemas.openxmlformats.org/officeDocument/2006/relationships/hyperlink" Id="rId143" Target="https://doi.org/10.1002/ecs2.1847" TargetMode="External" /><Relationship Type="http://schemas.openxmlformats.org/officeDocument/2006/relationships/hyperlink" Id="rId130" Target="https://doi.org/10.1002/ecs2.1889" TargetMode="External" /><Relationship Type="http://schemas.openxmlformats.org/officeDocument/2006/relationships/hyperlink" Id="rId216" Target="https://doi.org/10.1002/ecy.3264" TargetMode="External" /><Relationship Type="http://schemas.openxmlformats.org/officeDocument/2006/relationships/hyperlink" Id="rId248" Target="https://doi.org/10.1002/joc.2117" TargetMode="External" /><Relationship Type="http://schemas.openxmlformats.org/officeDocument/2006/relationships/hyperlink" Id="rId158" Target="https://doi.org/10.1002/joc.3711" TargetMode="External" /><Relationship Type="http://schemas.openxmlformats.org/officeDocument/2006/relationships/hyperlink" Id="rId65" Target="https://doi.org/10.1007/978-3-319-61669-8" TargetMode="External" /><Relationship Type="http://schemas.openxmlformats.org/officeDocument/2006/relationships/hyperlink" Id="rId244" Target="https://doi.org/10.1007/978-94-007-1242-3_2" TargetMode="External" /><Relationship Type="http://schemas.openxmlformats.org/officeDocument/2006/relationships/hyperlink" Id="rId110" Target="https://doi.org/10.1007/BF00282374" TargetMode="External" /><Relationship Type="http://schemas.openxmlformats.org/officeDocument/2006/relationships/hyperlink" Id="rId258" Target="https://doi.org/10.1007/s00442-013-2846-x" TargetMode="External" /><Relationship Type="http://schemas.openxmlformats.org/officeDocument/2006/relationships/hyperlink" Id="rId63" Target="https://doi.org/10.1007/s00442-017-3879-3" TargetMode="External" /><Relationship Type="http://schemas.openxmlformats.org/officeDocument/2006/relationships/hyperlink" Id="rId61" Target="https://doi.org/10.1007/s00468-017-1629-0" TargetMode="External" /><Relationship Type="http://schemas.openxmlformats.org/officeDocument/2006/relationships/hyperlink" Id="rId250" Target="https://doi.org/10.1007/s00468-018-1767-z" TargetMode="External" /><Relationship Type="http://schemas.openxmlformats.org/officeDocument/2006/relationships/hyperlink" Id="rId145" Target="https://doi.org/10.1007/s10021-020-00501-y" TargetMode="External" /><Relationship Type="http://schemas.openxmlformats.org/officeDocument/2006/relationships/hyperlink" Id="rId154" Target="https://doi.org/10.1007/s10342-016-0982-7" TargetMode="External" /><Relationship Type="http://schemas.openxmlformats.org/officeDocument/2006/relationships/hyperlink" Id="rId128" Target="https://doi.org/10.1007/s10584-009-9594-2" TargetMode="External" /><Relationship Type="http://schemas.openxmlformats.org/officeDocument/2006/relationships/hyperlink" Id="rId186" Target="https://doi.org/10.1007/s10584-016-1720-3" TargetMode="External" /><Relationship Type="http://schemas.openxmlformats.org/officeDocument/2006/relationships/hyperlink" Id="rId238" Target="https://doi.org/10.1007/s11258-007-9345-2" TargetMode="External" /><Relationship Type="http://schemas.openxmlformats.org/officeDocument/2006/relationships/hyperlink" Id="rId141" Target="https://doi.org/10.1016/S0065-2504(08)60158-0" TargetMode="External" /><Relationship Type="http://schemas.openxmlformats.org/officeDocument/2006/relationships/hyperlink" Id="rId108" Target="https://doi.org/10.1016/S0378-1127(98)00242-4" TargetMode="External" /><Relationship Type="http://schemas.openxmlformats.org/officeDocument/2006/relationships/hyperlink" Id="rId78" Target="https://doi.org/10.1016/j.agrformet.2012.10.010" TargetMode="External" /><Relationship Type="http://schemas.openxmlformats.org/officeDocument/2006/relationships/hyperlink" Id="rId252" Target="https://doi.org/10.1016/j.agrformet.2017.07.015" TargetMode="External" /><Relationship Type="http://schemas.openxmlformats.org/officeDocument/2006/relationships/hyperlink" Id="rId240" Target="https://doi.org/10.1016/j.agrformet.2017.08.007" TargetMode="External" /><Relationship Type="http://schemas.openxmlformats.org/officeDocument/2006/relationships/hyperlink" Id="rId114" Target="https://doi.org/10.1016/j.biocon.2020.108907" TargetMode="External" /><Relationship Type="http://schemas.openxmlformats.org/officeDocument/2006/relationships/hyperlink" Id="rId194" Target="https://doi.org/10.1016/j.cageo.2011.01.013" TargetMode="External" /><Relationship Type="http://schemas.openxmlformats.org/officeDocument/2006/relationships/hyperlink" Id="rId274" Target="https://doi.org/10.1016/j.dendro.2012.08.001" TargetMode="External" /><Relationship Type="http://schemas.openxmlformats.org/officeDocument/2006/relationships/hyperlink" Id="rId178" Target="https://doi.org/10.1016/j.dendro.2019.125652" TargetMode="External" /><Relationship Type="http://schemas.openxmlformats.org/officeDocument/2006/relationships/hyperlink" Id="rId212" Target="https://doi.org/10.1016/j.dendro.2020.125678" TargetMode="External" /><Relationship Type="http://schemas.openxmlformats.org/officeDocument/2006/relationships/hyperlink" Id="rId124" Target="https://doi.org/10.1016/j.foreco.2008.10.014" TargetMode="External" /><Relationship Type="http://schemas.openxmlformats.org/officeDocument/2006/relationships/hyperlink" Id="rId262" Target="https://doi.org/10.1016/j.foreco.2009.03.007" TargetMode="External" /><Relationship Type="http://schemas.openxmlformats.org/officeDocument/2006/relationships/hyperlink" Id="rId116" Target="https://doi.org/10.1016/j.foreco.2009.08.009" TargetMode="External" /><Relationship Type="http://schemas.openxmlformats.org/officeDocument/2006/relationships/hyperlink" Id="rId220" Target="https://doi.org/10.1016/j.foreco.2015.08.034" TargetMode="External" /><Relationship Type="http://schemas.openxmlformats.org/officeDocument/2006/relationships/hyperlink" Id="rId134" Target="https://doi.org/10.1016/j.foreco.2020.118717" TargetMode="External" /><Relationship Type="http://schemas.openxmlformats.org/officeDocument/2006/relationships/hyperlink" Id="rId73" Target="https://doi.org/10.1016/j.quascirev.2018.07.009" TargetMode="External" /><Relationship Type="http://schemas.openxmlformats.org/officeDocument/2006/relationships/hyperlink" Id="rId90" Target="https://doi.org/10.1016/j.tplants.2012.08.005" TargetMode="External" /><Relationship Type="http://schemas.openxmlformats.org/officeDocument/2006/relationships/hyperlink" Id="rId59" Target="https://doi.org/10.1017/qua.2019.33" TargetMode="External" /><Relationship Type="http://schemas.openxmlformats.org/officeDocument/2006/relationships/hyperlink" Id="rId94" Target="https://doi.org/10.1029/2011GB004143" TargetMode="External" /><Relationship Type="http://schemas.openxmlformats.org/officeDocument/2006/relationships/hyperlink" Id="rId164" Target="https://doi.org/10.1029/2018JG004573" TargetMode="External" /><Relationship Type="http://schemas.openxmlformats.org/officeDocument/2006/relationships/hyperlink" Id="rId231" Target="https://doi.org/10.1038/nature12914" TargetMode="External" /><Relationship Type="http://schemas.openxmlformats.org/officeDocument/2006/relationships/hyperlink" Id="rId266" Target="https://doi.org/10.1038/nclimate1693" TargetMode="External" /><Relationship Type="http://schemas.openxmlformats.org/officeDocument/2006/relationships/hyperlink" Id="rId256" Target="https://doi.org/10.1038/ngeo2313" TargetMode="External" /><Relationship Type="http://schemas.openxmlformats.org/officeDocument/2006/relationships/hyperlink" Id="rId80" Target="https://doi.org/10.1038/nplants.2015.139" TargetMode="External" /><Relationship Type="http://schemas.openxmlformats.org/officeDocument/2006/relationships/hyperlink" Id="rId170" Target="https://doi.org/10.1038/s41467-018-07800-y" TargetMode="External" /><Relationship Type="http://schemas.openxmlformats.org/officeDocument/2006/relationships/hyperlink" Id="rId120" Target="https://doi.org/10.1038/s41467-020-14300-5" TargetMode="External" /><Relationship Type="http://schemas.openxmlformats.org/officeDocument/2006/relationships/hyperlink" Id="rId160" Target="https://doi.org/10.1038/s41597-020-0453-3" TargetMode="External" /><Relationship Type="http://schemas.openxmlformats.org/officeDocument/2006/relationships/hyperlink" Id="rId176" Target="https://doi.org/10.1038/srep46158" TargetMode="External" /><Relationship Type="http://schemas.openxmlformats.org/officeDocument/2006/relationships/hyperlink" Id="rId147" Target="https://doi.org/10.1073/pnas.1610156113" TargetMode="External" /><Relationship Type="http://schemas.openxmlformats.org/officeDocument/2006/relationships/hyperlink" Id="rId92" Target="https://doi.org/10.1078/1125-7865-00017" TargetMode="External" /><Relationship Type="http://schemas.openxmlformats.org/officeDocument/2006/relationships/hyperlink" Id="rId236" Target="https://doi.org/10.1088/1748-9326/11/11/114007" TargetMode="External" /><Relationship Type="http://schemas.openxmlformats.org/officeDocument/2006/relationships/hyperlink" Id="rId168" Target="https://doi.org/10.1088/1748-9326/abd8fb" TargetMode="External" /><Relationship Type="http://schemas.openxmlformats.org/officeDocument/2006/relationships/hyperlink" Id="rId172" Target="https://doi.org/10.1093/treephys/tpaa091" TargetMode="External" /><Relationship Type="http://schemas.openxmlformats.org/officeDocument/2006/relationships/hyperlink" Id="rId71" Target="https://doi.org/10.1111/1365-2435.12470" TargetMode="External" /><Relationship Type="http://schemas.openxmlformats.org/officeDocument/2006/relationships/hyperlink" Id="rId226" Target="https://doi.org/10.1111/1365-2435.12775" TargetMode="External" /><Relationship Type="http://schemas.openxmlformats.org/officeDocument/2006/relationships/hyperlink" Id="rId118" Target="https://doi.org/10.1111/1365-2745.13569" TargetMode="External" /><Relationship Type="http://schemas.openxmlformats.org/officeDocument/2006/relationships/hyperlink" Id="rId254" Target="https://doi.org/10.1111/2041-210X.12590" TargetMode="External" /><Relationship Type="http://schemas.openxmlformats.org/officeDocument/2006/relationships/hyperlink" Id="rId214" Target="https://doi.org/10.1111/2041-210X.12753" TargetMode="External" /><Relationship Type="http://schemas.openxmlformats.org/officeDocument/2006/relationships/hyperlink" Id="rId276" Target="https://doi.org/10.1111/ecog.01335" TargetMode="External" /><Relationship Type="http://schemas.openxmlformats.org/officeDocument/2006/relationships/hyperlink" Id="rId106" Target="https://doi.org/10.1111/ele.12650" TargetMode="External" /><Relationship Type="http://schemas.openxmlformats.org/officeDocument/2006/relationships/hyperlink" Id="rId205" Target="https://doi.org/10.1111/ele.13575" TargetMode="External" /><Relationship Type="http://schemas.openxmlformats.org/officeDocument/2006/relationships/hyperlink" Id="rId199" Target="https://doi.org/10.1111/gcb.12599" TargetMode="External" /><Relationship Type="http://schemas.openxmlformats.org/officeDocument/2006/relationships/hyperlink" Id="rId69" Target="https://doi.org/10.1111/gcb.12712" TargetMode="External" /><Relationship Type="http://schemas.openxmlformats.org/officeDocument/2006/relationships/hyperlink" Id="rId207" Target="https://doi.org/10.1111/gcb.12826" TargetMode="External" /><Relationship Type="http://schemas.openxmlformats.org/officeDocument/2006/relationships/hyperlink" Id="rId152" Target="https://doi.org/10.1111/gcb.12955" TargetMode="External" /><Relationship Type="http://schemas.openxmlformats.org/officeDocument/2006/relationships/hyperlink" Id="rId136" Target="https://doi.org/10.1111/gcb.13208" TargetMode="External" /><Relationship Type="http://schemas.openxmlformats.org/officeDocument/2006/relationships/hyperlink" Id="rId104" Target="https://doi.org/10.1111/gcb.13366" TargetMode="External" /><Relationship Type="http://schemas.openxmlformats.org/officeDocument/2006/relationships/hyperlink" Id="rId96" Target="https://doi.org/10.1111/gcb.13410" TargetMode="External" /><Relationship Type="http://schemas.openxmlformats.org/officeDocument/2006/relationships/hyperlink" Id="rId102" Target="https://doi.org/10.1111/gcb.13535" TargetMode="External" /><Relationship Type="http://schemas.openxmlformats.org/officeDocument/2006/relationships/hyperlink" Id="rId242" Target="https://doi.org/10.1111/gcb.14120" TargetMode="External" /><Relationship Type="http://schemas.openxmlformats.org/officeDocument/2006/relationships/hyperlink" Id="rId184" Target="https://doi.org/10.1111/gcb.14273" TargetMode="External" /><Relationship Type="http://schemas.openxmlformats.org/officeDocument/2006/relationships/hyperlink" Id="rId156" Target="https://doi.org/10.1111/gcb.14561" TargetMode="External" /><Relationship Type="http://schemas.openxmlformats.org/officeDocument/2006/relationships/hyperlink" Id="rId224" Target="https://doi.org/10.1111/gcb.14721" TargetMode="External" /><Relationship Type="http://schemas.openxmlformats.org/officeDocument/2006/relationships/hyperlink" Id="rId268" Target="https://doi.org/10.1111/gcb.15057" TargetMode="External" /><Relationship Type="http://schemas.openxmlformats.org/officeDocument/2006/relationships/hyperlink" Id="rId278" Target="https://doi.org/10.1111/gcb.15092" TargetMode="External" /><Relationship Type="http://schemas.openxmlformats.org/officeDocument/2006/relationships/hyperlink" Id="rId201" Target="https://doi.org/10.1111/j.1365-2486.2010.02222.x" TargetMode="External" /><Relationship Type="http://schemas.openxmlformats.org/officeDocument/2006/relationships/hyperlink" Id="rId270" Target="https://doi.org/10.1111/j.1467-9868.2010.00749.x" TargetMode="External" /><Relationship Type="http://schemas.openxmlformats.org/officeDocument/2006/relationships/hyperlink" Id="rId218" Target="https://doi.org/10.1111/j.1469-8137.2007.02235.x" TargetMode="External" /><Relationship Type="http://schemas.openxmlformats.org/officeDocument/2006/relationships/hyperlink" Id="rId197" Target="https://doi.org/10.1111/j.1600-0587.2013.00205.x" TargetMode="External" /><Relationship Type="http://schemas.openxmlformats.org/officeDocument/2006/relationships/hyperlink" Id="rId166" Target="https://doi.org/10.1111/jbi.13199" TargetMode="External" /><Relationship Type="http://schemas.openxmlformats.org/officeDocument/2006/relationships/hyperlink" Id="rId192" Target="https://doi.org/10.1111/nph.14633" TargetMode="External" /><Relationship Type="http://schemas.openxmlformats.org/officeDocument/2006/relationships/hyperlink" Id="rId174" Target="https://doi.org/10.1111/nph.15668" TargetMode="External" /><Relationship Type="http://schemas.openxmlformats.org/officeDocument/2006/relationships/hyperlink" Id="rId162" Target="https://doi.org/10.1111/nph.15906" TargetMode="External" /><Relationship Type="http://schemas.openxmlformats.org/officeDocument/2006/relationships/hyperlink" Id="rId264" Target="https://doi.org/10.1111/nph.16866" TargetMode="External" /><Relationship Type="http://schemas.openxmlformats.org/officeDocument/2006/relationships/hyperlink" Id="rId190" Target="https://doi.org/10.1111/nph.16996" TargetMode="External" /><Relationship Type="http://schemas.openxmlformats.org/officeDocument/2006/relationships/hyperlink" Id="rId75" Target="https://doi.org/10.1126/sciadv.aat4313" TargetMode="External" /><Relationship Type="http://schemas.openxmlformats.org/officeDocument/2006/relationships/hyperlink" Id="rId126" Target="https://doi.org/10.1126/science.1066360" TargetMode="External" /><Relationship Type="http://schemas.openxmlformats.org/officeDocument/2006/relationships/hyperlink" Id="rId100" Target="https://doi.org/10.1126/science.1197175" TargetMode="External" /><Relationship Type="http://schemas.openxmlformats.org/officeDocument/2006/relationships/hyperlink" Id="rId234" Target="https://doi.org/10.1126/science.aaw7578" TargetMode="External" /><Relationship Type="http://schemas.openxmlformats.org/officeDocument/2006/relationships/hyperlink" Id="rId188" Target="https://doi.org/10.1126/science.aaz9463" TargetMode="External" /><Relationship Type="http://schemas.openxmlformats.org/officeDocument/2006/relationships/hyperlink" Id="rId98" Target="https://doi.org/10.1139/cjfr-2018-0206" TargetMode="External" /><Relationship Type="http://schemas.openxmlformats.org/officeDocument/2006/relationships/hyperlink" Id="rId180" Target="https://doi.org/10.1139/x89-102" TargetMode="External" /><Relationship Type="http://schemas.openxmlformats.org/officeDocument/2006/relationships/hyperlink" Id="rId138" Target="https://doi.org/10.1175/JCLI3800.1" TargetMode="External" /><Relationship Type="http://schemas.openxmlformats.org/officeDocument/2006/relationships/hyperlink" Id="rId112" Target="https://doi.org/10.1177/095968369700700314" TargetMode="External" /><Relationship Type="http://schemas.openxmlformats.org/officeDocument/2006/relationships/hyperlink" Id="rId222" Target="https://doi.org/10.1186/s40663-018-0133-3" TargetMode="External" /><Relationship Type="http://schemas.openxmlformats.org/officeDocument/2006/relationships/hyperlink" Id="rId210" Target="https://doi.org/10.1186/s40663-018-0139-x" TargetMode="External" /><Relationship Type="http://schemas.openxmlformats.org/officeDocument/2006/relationships/hyperlink" Id="rId272" Target="https://doi.org/10.1191/095968399667128516" TargetMode="External" /><Relationship Type="http://schemas.openxmlformats.org/officeDocument/2006/relationships/hyperlink" Id="rId260" Target="https://doi.org/10.1890/0012-9615(2006)076[0549:HCGEDW]2.0.CO;2" TargetMode="External" /><Relationship Type="http://schemas.openxmlformats.org/officeDocument/2006/relationships/hyperlink" Id="rId150" Target="https://doi.org/10.2307/1937545" TargetMode="External" /><Relationship Type="http://schemas.openxmlformats.org/officeDocument/2006/relationships/hyperlink" Id="rId182" Target="https://doi.org/10.2307/1941026" TargetMode="External" /><Relationship Type="http://schemas.openxmlformats.org/officeDocument/2006/relationships/hyperlink" Id="rId203" Target="https://doi.org/10.3389/ffgc.2020.00039" TargetMode="External" /><Relationship Type="http://schemas.openxmlformats.org/officeDocument/2006/relationships/hyperlink" Id="rId82" Target="https://doi.org/10.3959/2008-6.1" TargetMode="External" /><Relationship Type="http://schemas.openxmlformats.org/officeDocument/2006/relationships/hyperlink" Id="rId246" Target="https://doi.org/10.5194/cp-9-1481-2013" TargetMode="External" /><Relationship Type="http://schemas.openxmlformats.org/officeDocument/2006/relationships/hyperlink" Id="rId67" Target="https://doi.org/10.5281/ZENODO.3958215" TargetMode="External" /><Relationship Type="http://schemas.openxmlformats.org/officeDocument/2006/relationships/hyperlink" Id="rId32" Target="https://waterdata.usgs.gov/nwis/uv/?site_no=06461500&amp;agency_cd=USGS&amp;referred_module=sw" TargetMode="External" /><Relationship Type="http://schemas.openxmlformats.org/officeDocument/2006/relationships/hyperlink" Id="rId84" Target="https://www.ncdc.noaa.gov/paleo-search/study/31995" TargetMode="External" /><Relationship Type="http://schemas.openxmlformats.org/officeDocument/2006/relationships/hyperlink" Id="rId86" Target="https://www.ncdc.noaa.gov/paleo-search/study/31996" TargetMode="External" /><Relationship Type="http://schemas.openxmlformats.org/officeDocument/2006/relationships/hyperlink" Id="rId88" Target="https://www.ncdc.noaa.gov/paleo-search/study/31997" TargetMode="External" /><Relationship Type="http://schemas.openxmlformats.org/officeDocument/2006/relationships/hyperlink" Id="rId27"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2021-03-13T19:22:43Z</dcterms:created>
  <dcterms:modified xsi:type="dcterms:W3CDTF">2021-03-13T19:22:43Z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@kaspar_speciesspecific_2021; @alexander_potential_2019; @finzi_carbon_2020; @birch_birch_2020; @birch_birch_2020b; @birch_birch_2020c; @birch_birch_2020d</vt:lpwstr>
  </property>
  <property fmtid="{D5CDD505-2E9C-101B-9397-08002B2CF9AE}" pid="5" name="output">
    <vt:lpwstr/>
  </property>
</Properties>
</file>